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CB" w:rsidRPr="003A76C0" w:rsidRDefault="00D55724" w:rsidP="00ED6B31">
      <w:pPr>
        <w:pStyle w:val="ListParagraph"/>
        <w:spacing w:before="100" w:beforeAutospacing="1" w:after="100" w:afterAutospacing="1" w:line="360" w:lineRule="auto"/>
        <w:ind w:left="792"/>
        <w:jc w:val="center"/>
        <w:rPr>
          <w:rFonts w:ascii="Ebrima" w:eastAsia="Times New Roman" w:hAnsi="Ebrima" w:cs="Times New Roman"/>
          <w:b/>
          <w:bCs/>
          <w:sz w:val="24"/>
          <w:szCs w:val="24"/>
          <w:lang w:bidi="ta-IN"/>
        </w:rPr>
      </w:pPr>
      <w:r w:rsidRPr="003A76C0">
        <w:rPr>
          <w:rFonts w:ascii="Ebrima" w:eastAsia="Times New Roman" w:hAnsi="Ebrima" w:cs="Times New Roman"/>
          <w:b/>
          <w:bCs/>
          <w:sz w:val="24"/>
          <w:szCs w:val="24"/>
          <w:lang w:bidi="ta-IN"/>
        </w:rPr>
        <w:t>Open Market Operations (OMO)</w:t>
      </w:r>
      <w:r w:rsidR="0061543B">
        <w:rPr>
          <w:rFonts w:ascii="Ebrima" w:eastAsia="Times New Roman" w:hAnsi="Ebrima" w:cs="Times New Roman"/>
          <w:b/>
          <w:bCs/>
          <w:sz w:val="24"/>
          <w:szCs w:val="24"/>
          <w:lang w:bidi="ta-IN"/>
        </w:rPr>
        <w:t xml:space="preserve"> </w:t>
      </w:r>
    </w:p>
    <w:p w:rsidR="00CD77CB" w:rsidRDefault="00DE1605" w:rsidP="00CD77CB">
      <w:pPr>
        <w:spacing w:before="100" w:beforeAutospacing="1" w:after="100" w:afterAutospacing="1" w:line="360" w:lineRule="auto"/>
        <w:contextualSpacing/>
        <w:jc w:val="both"/>
        <w:rPr>
          <w:rFonts w:ascii="Ebrima" w:eastAsia="Times New Roman" w:hAnsi="Ebrima" w:cs="Times New Roman"/>
          <w:sz w:val="24"/>
          <w:szCs w:val="24"/>
          <w:lang w:bidi="ta-IN"/>
        </w:rPr>
      </w:pPr>
      <w:r w:rsidRPr="003A76C0">
        <w:rPr>
          <w:rFonts w:ascii="Ebrima" w:eastAsia="Times New Roman" w:hAnsi="Ebrima" w:cs="Times New Roman"/>
          <w:sz w:val="24"/>
          <w:szCs w:val="24"/>
          <w:lang w:bidi="ta-IN"/>
        </w:rPr>
        <w:t>OMO</w:t>
      </w:r>
      <w:r w:rsidR="004377B8">
        <w:rPr>
          <w:rFonts w:ascii="Ebrima" w:eastAsia="Times New Roman" w:hAnsi="Ebrima" w:cs="Times New Roman"/>
          <w:sz w:val="24"/>
          <w:szCs w:val="24"/>
          <w:lang w:bidi="ta-IN"/>
        </w:rPr>
        <w:t xml:space="preserve"> generally </w:t>
      </w:r>
      <w:r w:rsidR="00CD77CB" w:rsidRPr="003A76C0">
        <w:rPr>
          <w:rFonts w:ascii="Ebrima" w:eastAsia="Times New Roman" w:hAnsi="Ebrima" w:cs="Times New Roman"/>
          <w:sz w:val="24"/>
          <w:szCs w:val="24"/>
          <w:lang w:bidi="ta-IN"/>
        </w:rPr>
        <w:t xml:space="preserve"> refer to the buying and selling of </w:t>
      </w:r>
      <w:r w:rsidR="004377B8">
        <w:rPr>
          <w:rFonts w:ascii="Ebrima" w:eastAsia="Times New Roman" w:hAnsi="Ebrima" w:cs="Times New Roman"/>
          <w:sz w:val="24"/>
          <w:szCs w:val="24"/>
          <w:lang w:bidi="ta-IN"/>
        </w:rPr>
        <w:t xml:space="preserve">financial assets </w:t>
      </w:r>
      <w:r w:rsidR="002211F8" w:rsidRPr="003A76C0">
        <w:rPr>
          <w:rFonts w:ascii="Ebrima" w:eastAsia="Times New Roman" w:hAnsi="Ebrima" w:cs="Times New Roman"/>
          <w:sz w:val="24"/>
          <w:szCs w:val="24"/>
          <w:lang w:bidi="ta-IN"/>
        </w:rPr>
        <w:t xml:space="preserve"> on temporary or permanent basis</w:t>
      </w:r>
      <w:r w:rsidR="00CD77CB" w:rsidRPr="003A76C0">
        <w:rPr>
          <w:rFonts w:ascii="Ebrima" w:eastAsia="Times New Roman" w:hAnsi="Ebrima" w:cs="Times New Roman"/>
          <w:sz w:val="24"/>
          <w:szCs w:val="24"/>
          <w:lang w:bidi="ta-IN"/>
        </w:rPr>
        <w:t xml:space="preserve"> in the open market in order to expand or contract the amount of money in the </w:t>
      </w:r>
      <w:r w:rsidR="00DE1E67" w:rsidRPr="003A76C0">
        <w:rPr>
          <w:rFonts w:ascii="Ebrima" w:eastAsia="Times New Roman" w:hAnsi="Ebrima" w:cs="Times New Roman"/>
          <w:sz w:val="24"/>
          <w:szCs w:val="24"/>
          <w:lang w:bidi="ta-IN"/>
        </w:rPr>
        <w:t>inter</w:t>
      </w:r>
      <w:r w:rsidR="00DA62DE" w:rsidRPr="003A76C0">
        <w:rPr>
          <w:rFonts w:ascii="Ebrima" w:eastAsia="Times New Roman" w:hAnsi="Ebrima" w:cs="Times New Roman"/>
          <w:sz w:val="24"/>
          <w:szCs w:val="24"/>
          <w:lang w:bidi="ta-IN"/>
        </w:rPr>
        <w:t>-</w:t>
      </w:r>
      <w:r w:rsidR="00DE1E67" w:rsidRPr="003A76C0">
        <w:rPr>
          <w:rFonts w:ascii="Ebrima" w:eastAsia="Times New Roman" w:hAnsi="Ebrima" w:cs="Times New Roman"/>
          <w:sz w:val="24"/>
          <w:szCs w:val="24"/>
          <w:lang w:bidi="ta-IN"/>
        </w:rPr>
        <w:t>bank money market.</w:t>
      </w:r>
      <w:r w:rsidR="005D1F66">
        <w:rPr>
          <w:rFonts w:ascii="Ebrima" w:eastAsia="Times New Roman" w:hAnsi="Ebrima" w:cs="Times New Roman"/>
          <w:sz w:val="24"/>
          <w:szCs w:val="24"/>
          <w:lang w:bidi="ta-IN"/>
        </w:rPr>
        <w:t xml:space="preserve"> </w:t>
      </w:r>
      <w:r w:rsidR="0029353A" w:rsidRPr="003A76C0">
        <w:rPr>
          <w:rFonts w:ascii="Ebrima" w:eastAsia="Times New Roman" w:hAnsi="Ebrima" w:cs="Times New Roman"/>
          <w:sz w:val="24"/>
          <w:szCs w:val="24"/>
          <w:lang w:bidi="ta-IN"/>
        </w:rPr>
        <w:t>Under the OMO, CBSL conducts auctions which either injects liquidity to the market or absorbs liquidity from the market</w:t>
      </w:r>
      <w:r w:rsidR="004368E7" w:rsidRPr="003A76C0">
        <w:rPr>
          <w:rFonts w:ascii="Ebrima" w:eastAsia="Times New Roman" w:hAnsi="Ebrima" w:cs="Times New Roman"/>
          <w:sz w:val="24"/>
          <w:szCs w:val="24"/>
          <w:lang w:bidi="ta-IN"/>
        </w:rPr>
        <w:t>, as the case may be,</w:t>
      </w:r>
      <w:r w:rsidR="0029353A" w:rsidRPr="003A76C0">
        <w:rPr>
          <w:rFonts w:ascii="Ebrima" w:eastAsia="Times New Roman" w:hAnsi="Ebrima" w:cs="Times New Roman"/>
          <w:sz w:val="24"/>
          <w:szCs w:val="24"/>
          <w:lang w:bidi="ta-IN"/>
        </w:rPr>
        <w:t xml:space="preserve"> in order to </w:t>
      </w:r>
      <w:r w:rsidR="002211F8" w:rsidRPr="003A76C0">
        <w:rPr>
          <w:rFonts w:ascii="Ebrima" w:eastAsia="Times New Roman" w:hAnsi="Ebrima" w:cs="Times New Roman"/>
          <w:sz w:val="24"/>
          <w:szCs w:val="24"/>
          <w:lang w:bidi="ta-IN"/>
        </w:rPr>
        <w:t>steer</w:t>
      </w:r>
      <w:r w:rsidR="0029353A" w:rsidRPr="003A76C0">
        <w:rPr>
          <w:rFonts w:ascii="Ebrima" w:eastAsia="Times New Roman" w:hAnsi="Ebrima" w:cs="Times New Roman"/>
          <w:sz w:val="24"/>
          <w:szCs w:val="24"/>
          <w:lang w:bidi="ta-IN"/>
        </w:rPr>
        <w:t xml:space="preserve"> the call rate to the required level. </w:t>
      </w:r>
      <w:r w:rsidR="00CD77CB" w:rsidRPr="003A76C0">
        <w:rPr>
          <w:rFonts w:ascii="Ebrima" w:eastAsia="Times New Roman" w:hAnsi="Ebrima" w:cs="Times New Roman"/>
          <w:sz w:val="24"/>
          <w:szCs w:val="24"/>
          <w:lang w:bidi="ta-IN"/>
        </w:rPr>
        <w:t>Purchases</w:t>
      </w:r>
      <w:r w:rsidR="0029353A" w:rsidRPr="003A76C0">
        <w:rPr>
          <w:rFonts w:ascii="Ebrima" w:eastAsia="Times New Roman" w:hAnsi="Ebrima" w:cs="Times New Roman"/>
          <w:sz w:val="24"/>
          <w:szCs w:val="24"/>
          <w:lang w:bidi="ta-IN"/>
        </w:rPr>
        <w:t xml:space="preserve"> of securities</w:t>
      </w:r>
      <w:r w:rsidR="00CD77CB" w:rsidRPr="003A76C0">
        <w:rPr>
          <w:rFonts w:ascii="Ebrima" w:eastAsia="Times New Roman" w:hAnsi="Ebrima" w:cs="Times New Roman"/>
          <w:sz w:val="24"/>
          <w:szCs w:val="24"/>
          <w:lang w:bidi="ta-IN"/>
        </w:rPr>
        <w:t xml:space="preserve"> inject money into the banking system while sales of securities do</w:t>
      </w:r>
      <w:r w:rsidRPr="003A76C0">
        <w:rPr>
          <w:rFonts w:ascii="Ebrima" w:eastAsia="Times New Roman" w:hAnsi="Ebrima" w:cs="Times New Roman"/>
          <w:sz w:val="24"/>
          <w:szCs w:val="24"/>
          <w:lang w:bidi="ta-IN"/>
        </w:rPr>
        <w:t xml:space="preserve"> the opposite</w:t>
      </w:r>
      <w:r w:rsidR="00CD77CB" w:rsidRPr="003A76C0">
        <w:rPr>
          <w:rFonts w:ascii="Ebrima" w:eastAsia="Times New Roman" w:hAnsi="Ebrima" w:cs="Times New Roman"/>
          <w:sz w:val="24"/>
          <w:szCs w:val="24"/>
          <w:lang w:bidi="ta-IN"/>
        </w:rPr>
        <w:t>. The CBSL purchase</w:t>
      </w:r>
      <w:r w:rsidRPr="003A76C0">
        <w:rPr>
          <w:rFonts w:ascii="Ebrima" w:eastAsia="Times New Roman" w:hAnsi="Ebrima" w:cs="Times New Roman"/>
          <w:sz w:val="24"/>
          <w:szCs w:val="24"/>
          <w:lang w:bidi="ta-IN"/>
        </w:rPr>
        <w:t>s</w:t>
      </w:r>
      <w:r w:rsidR="00CD77CB" w:rsidRPr="003A76C0">
        <w:rPr>
          <w:rFonts w:ascii="Ebrima" w:eastAsia="Times New Roman" w:hAnsi="Ebrima" w:cs="Times New Roman"/>
          <w:sz w:val="24"/>
          <w:szCs w:val="24"/>
          <w:lang w:bidi="ta-IN"/>
        </w:rPr>
        <w:t xml:space="preserve"> and s</w:t>
      </w:r>
      <w:r w:rsidRPr="003A76C0">
        <w:rPr>
          <w:rFonts w:ascii="Ebrima" w:eastAsia="Times New Roman" w:hAnsi="Ebrima" w:cs="Times New Roman"/>
          <w:sz w:val="24"/>
          <w:szCs w:val="24"/>
          <w:lang w:bidi="ta-IN"/>
        </w:rPr>
        <w:t>ells</w:t>
      </w:r>
      <w:r w:rsidR="00CD77CB" w:rsidRPr="003A76C0">
        <w:rPr>
          <w:rFonts w:ascii="Ebrima" w:eastAsia="Times New Roman" w:hAnsi="Ebrima" w:cs="Times New Roman"/>
          <w:sz w:val="24"/>
          <w:szCs w:val="24"/>
          <w:lang w:bidi="ta-IN"/>
        </w:rPr>
        <w:t xml:space="preserve"> government securities in the open market as defined in the section 9</w:t>
      </w:r>
      <w:r w:rsidR="0041013A" w:rsidRPr="003A76C0">
        <w:rPr>
          <w:rFonts w:ascii="Ebrima" w:eastAsia="Times New Roman" w:hAnsi="Ebrima" w:cs="Times New Roman"/>
          <w:sz w:val="24"/>
          <w:szCs w:val="24"/>
          <w:lang w:bidi="ta-IN"/>
        </w:rPr>
        <w:t>1</w:t>
      </w:r>
      <w:r w:rsidR="00CD77CB" w:rsidRPr="003A76C0">
        <w:rPr>
          <w:rFonts w:ascii="Ebrima" w:eastAsia="Times New Roman" w:hAnsi="Ebrima" w:cs="Times New Roman"/>
          <w:sz w:val="24"/>
          <w:szCs w:val="24"/>
          <w:lang w:bidi="ta-IN"/>
        </w:rPr>
        <w:t xml:space="preserve"> of the Monetary Law Act (MLA). </w:t>
      </w:r>
    </w:p>
    <w:p w:rsidR="005D1F66" w:rsidRPr="003A76C0" w:rsidRDefault="00D406F4" w:rsidP="00CD77CB">
      <w:pPr>
        <w:spacing w:before="100" w:beforeAutospacing="1" w:after="100" w:afterAutospacing="1" w:line="360" w:lineRule="auto"/>
        <w:contextualSpacing/>
        <w:jc w:val="both"/>
        <w:rPr>
          <w:rFonts w:ascii="Ebrima" w:eastAsia="Times New Roman" w:hAnsi="Ebrima" w:cs="Times New Roman"/>
          <w:sz w:val="24"/>
          <w:szCs w:val="24"/>
          <w:lang w:bidi="ta-IN"/>
        </w:rPr>
      </w:pPr>
      <w:r>
        <w:rPr>
          <w:rFonts w:ascii="Ebrima" w:eastAsia="Times New Roman" w:hAnsi="Ebrima" w:cs="Times New Roman"/>
          <w:sz w:val="24"/>
          <w:szCs w:val="24"/>
          <w:lang w:bidi="ta-IN"/>
        </w:rPr>
        <w:t>The following  are steps that are carried out in conducting OMOs</w:t>
      </w:r>
      <w:bookmarkStart w:id="0" w:name="_GoBack"/>
      <w:bookmarkEnd w:id="0"/>
    </w:p>
    <w:p w:rsidR="005D1F66" w:rsidRPr="00ED6B31" w:rsidRDefault="005D1F66" w:rsidP="00ED6B31">
      <w:pPr>
        <w:pStyle w:val="ListParagraph"/>
        <w:numPr>
          <w:ilvl w:val="0"/>
          <w:numId w:val="14"/>
        </w:numPr>
        <w:spacing w:before="100" w:beforeAutospacing="1" w:after="100" w:afterAutospacing="1" w:line="360" w:lineRule="auto"/>
        <w:jc w:val="both"/>
        <w:rPr>
          <w:rFonts w:ascii="Ebrima" w:eastAsia="Times New Roman" w:hAnsi="Ebrima" w:cs="Times New Roman"/>
          <w:sz w:val="24"/>
          <w:szCs w:val="24"/>
          <w:lang w:bidi="ta-IN"/>
        </w:rPr>
      </w:pPr>
      <w:r w:rsidRPr="00ED6B31">
        <w:rPr>
          <w:rFonts w:ascii="Ebrima" w:eastAsia="Times New Roman" w:hAnsi="Ebrima" w:cs="Times New Roman"/>
          <w:sz w:val="24"/>
          <w:szCs w:val="24"/>
          <w:lang w:bidi="ta-IN"/>
        </w:rPr>
        <w:t xml:space="preserve">Forecasting overnight excess/deficit liquidity </w:t>
      </w:r>
    </w:p>
    <w:p w:rsidR="005D1F66" w:rsidRPr="00ED6B31" w:rsidRDefault="005D1F66" w:rsidP="00ED6B31">
      <w:pPr>
        <w:pStyle w:val="ListParagraph"/>
        <w:numPr>
          <w:ilvl w:val="0"/>
          <w:numId w:val="14"/>
        </w:numPr>
        <w:spacing w:before="100" w:beforeAutospacing="1" w:after="100" w:afterAutospacing="1" w:line="360" w:lineRule="auto"/>
        <w:jc w:val="both"/>
        <w:rPr>
          <w:rFonts w:ascii="Ebrima" w:eastAsia="Times New Roman" w:hAnsi="Ebrima" w:cs="Times New Roman"/>
          <w:sz w:val="24"/>
          <w:szCs w:val="24"/>
          <w:lang w:bidi="ta-IN"/>
        </w:rPr>
      </w:pPr>
      <w:r w:rsidRPr="00ED6B31">
        <w:rPr>
          <w:rFonts w:ascii="Ebrima" w:eastAsia="Times New Roman" w:hAnsi="Ebrima" w:cs="Times New Roman"/>
          <w:sz w:val="24"/>
          <w:szCs w:val="24"/>
          <w:lang w:bidi="ta-IN"/>
        </w:rPr>
        <w:t xml:space="preserve">Participating in daily Monetary Operating Committee (MOC) meeting to decide whether to conduct auction,, if so, its type, quantity and maturity. </w:t>
      </w:r>
    </w:p>
    <w:p w:rsidR="005D1F66" w:rsidRPr="00ED6B31" w:rsidRDefault="005D1F66" w:rsidP="00ED6B31">
      <w:pPr>
        <w:pStyle w:val="ListParagraph"/>
        <w:numPr>
          <w:ilvl w:val="0"/>
          <w:numId w:val="14"/>
        </w:numPr>
        <w:spacing w:before="100" w:beforeAutospacing="1" w:after="100" w:afterAutospacing="1" w:line="360" w:lineRule="auto"/>
        <w:jc w:val="both"/>
        <w:rPr>
          <w:rFonts w:ascii="Ebrima" w:eastAsia="Times New Roman" w:hAnsi="Ebrima" w:cs="Times New Roman"/>
          <w:sz w:val="24"/>
          <w:szCs w:val="24"/>
          <w:lang w:bidi="ta-IN"/>
        </w:rPr>
      </w:pPr>
      <w:r w:rsidRPr="00ED6B31">
        <w:rPr>
          <w:rFonts w:ascii="Ebrima" w:eastAsia="Times New Roman" w:hAnsi="Ebrima" w:cs="Times New Roman"/>
          <w:sz w:val="24"/>
          <w:szCs w:val="24"/>
          <w:lang w:bidi="ta-IN"/>
        </w:rPr>
        <w:t>Announcing  the decisions of the MOC to the market through the electronic bidding system</w:t>
      </w:r>
    </w:p>
    <w:p w:rsidR="005D1F66" w:rsidRPr="00ED6B31" w:rsidRDefault="005D1F66" w:rsidP="00ED6B31">
      <w:pPr>
        <w:pStyle w:val="ListParagraph"/>
        <w:numPr>
          <w:ilvl w:val="0"/>
          <w:numId w:val="14"/>
        </w:numPr>
        <w:spacing w:before="100" w:beforeAutospacing="1" w:after="100" w:afterAutospacing="1" w:line="360" w:lineRule="auto"/>
        <w:jc w:val="both"/>
        <w:rPr>
          <w:rFonts w:ascii="Ebrima" w:eastAsia="Times New Roman" w:hAnsi="Ebrima" w:cs="Times New Roman"/>
          <w:sz w:val="24"/>
          <w:szCs w:val="24"/>
          <w:lang w:bidi="ta-IN"/>
        </w:rPr>
      </w:pPr>
      <w:r w:rsidRPr="00ED6B31">
        <w:rPr>
          <w:rFonts w:ascii="Ebrima" w:eastAsia="Times New Roman" w:hAnsi="Ebrima" w:cs="Times New Roman"/>
          <w:sz w:val="24"/>
          <w:szCs w:val="24"/>
          <w:lang w:bidi="ta-IN"/>
        </w:rPr>
        <w:t>Receiving bids from the participating institutions (PI) in the case of conducting auction.</w:t>
      </w:r>
    </w:p>
    <w:p w:rsidR="005D1F66" w:rsidRPr="00ED6B31" w:rsidRDefault="005D1F66" w:rsidP="00ED6B31">
      <w:pPr>
        <w:pStyle w:val="ListParagraph"/>
        <w:numPr>
          <w:ilvl w:val="0"/>
          <w:numId w:val="14"/>
        </w:numPr>
        <w:spacing w:before="100" w:beforeAutospacing="1" w:after="100" w:afterAutospacing="1" w:line="360" w:lineRule="auto"/>
        <w:jc w:val="both"/>
        <w:rPr>
          <w:rFonts w:ascii="Ebrima" w:eastAsia="Times New Roman" w:hAnsi="Ebrima" w:cs="Times New Roman"/>
          <w:sz w:val="24"/>
          <w:szCs w:val="24"/>
          <w:lang w:bidi="ta-IN"/>
        </w:rPr>
      </w:pPr>
      <w:r w:rsidRPr="00ED6B31">
        <w:rPr>
          <w:rFonts w:ascii="Ebrima" w:eastAsia="Times New Roman" w:hAnsi="Ebrima" w:cs="Times New Roman"/>
          <w:sz w:val="24"/>
          <w:szCs w:val="24"/>
          <w:lang w:bidi="ta-IN"/>
        </w:rPr>
        <w:t>Making decisions by the MOC on the auction outcome.</w:t>
      </w:r>
    </w:p>
    <w:p w:rsidR="00D55724" w:rsidRDefault="005D1F66" w:rsidP="00ED6B31">
      <w:pPr>
        <w:pStyle w:val="ListParagraph"/>
        <w:numPr>
          <w:ilvl w:val="0"/>
          <w:numId w:val="14"/>
        </w:numPr>
        <w:spacing w:before="100" w:beforeAutospacing="1" w:after="100" w:afterAutospacing="1" w:line="360" w:lineRule="auto"/>
        <w:jc w:val="both"/>
        <w:rPr>
          <w:rFonts w:ascii="Ebrima" w:eastAsia="Times New Roman" w:hAnsi="Ebrima" w:cs="Times New Roman"/>
          <w:sz w:val="24"/>
          <w:szCs w:val="24"/>
          <w:lang w:bidi="ta-IN"/>
        </w:rPr>
      </w:pPr>
      <w:r w:rsidRPr="00ED6B31">
        <w:rPr>
          <w:rFonts w:ascii="Ebrima" w:eastAsia="Times New Roman" w:hAnsi="Ebrima" w:cs="Times New Roman"/>
          <w:sz w:val="24"/>
          <w:szCs w:val="24"/>
          <w:lang w:bidi="ta-IN"/>
        </w:rPr>
        <w:t>Making the standing facilities available to PIs to meet their further liquidity requirements.</w:t>
      </w:r>
    </w:p>
    <w:p w:rsidR="00D406F4" w:rsidRPr="00ED6B31" w:rsidRDefault="00D406F4" w:rsidP="00ED6B31">
      <w:pPr>
        <w:pStyle w:val="ListParagraph"/>
        <w:spacing w:before="100" w:beforeAutospacing="1" w:after="100" w:afterAutospacing="1" w:line="360" w:lineRule="auto"/>
        <w:jc w:val="both"/>
        <w:rPr>
          <w:rFonts w:ascii="Ebrima" w:eastAsia="Times New Roman" w:hAnsi="Ebrima" w:cs="Times New Roman"/>
          <w:sz w:val="24"/>
          <w:szCs w:val="24"/>
          <w:lang w:bidi="ta-IN"/>
        </w:rPr>
      </w:pPr>
    </w:p>
    <w:p w:rsidR="00D55724" w:rsidRPr="003A76C0" w:rsidRDefault="00D55724" w:rsidP="00ED6B31">
      <w:pPr>
        <w:pStyle w:val="ListParagraph"/>
        <w:numPr>
          <w:ilvl w:val="1"/>
          <w:numId w:val="12"/>
        </w:numPr>
        <w:spacing w:before="100" w:beforeAutospacing="1" w:after="100" w:afterAutospacing="1" w:line="360" w:lineRule="auto"/>
        <w:jc w:val="both"/>
        <w:rPr>
          <w:rFonts w:ascii="Ebrima" w:eastAsia="Times New Roman" w:hAnsi="Ebrima" w:cs="Times New Roman"/>
          <w:b/>
          <w:bCs/>
          <w:sz w:val="24"/>
          <w:szCs w:val="24"/>
          <w:lang w:bidi="ta-IN"/>
        </w:rPr>
      </w:pPr>
      <w:r w:rsidRPr="003A76C0">
        <w:rPr>
          <w:rFonts w:ascii="Ebrima" w:eastAsia="Times New Roman" w:hAnsi="Ebrima" w:cs="Times New Roman"/>
          <w:b/>
          <w:bCs/>
          <w:sz w:val="24"/>
          <w:szCs w:val="24"/>
          <w:lang w:bidi="ta-IN"/>
        </w:rPr>
        <w:t xml:space="preserve">Instruments used </w:t>
      </w:r>
      <w:r w:rsidR="007A3B10" w:rsidRPr="003A76C0">
        <w:rPr>
          <w:rFonts w:ascii="Ebrima" w:eastAsia="Times New Roman" w:hAnsi="Ebrima" w:cs="Times New Roman"/>
          <w:b/>
          <w:bCs/>
          <w:sz w:val="24"/>
          <w:szCs w:val="24"/>
          <w:lang w:bidi="ta-IN"/>
        </w:rPr>
        <w:t xml:space="preserve">under </w:t>
      </w:r>
      <w:r w:rsidRPr="003A76C0">
        <w:rPr>
          <w:rFonts w:ascii="Ebrima" w:eastAsia="Times New Roman" w:hAnsi="Ebrima" w:cs="Times New Roman"/>
          <w:b/>
          <w:bCs/>
          <w:sz w:val="24"/>
          <w:szCs w:val="24"/>
          <w:lang w:bidi="ta-IN"/>
        </w:rPr>
        <w:t>OMO</w:t>
      </w:r>
    </w:p>
    <w:p w:rsidR="004377B8" w:rsidRPr="004377B8" w:rsidRDefault="00CD77CB" w:rsidP="004377B8">
      <w:pPr>
        <w:spacing w:before="100" w:beforeAutospacing="1" w:after="100" w:afterAutospacing="1" w:line="360" w:lineRule="auto"/>
        <w:jc w:val="both"/>
        <w:rPr>
          <w:rFonts w:ascii="Ebrima" w:eastAsia="Times New Roman" w:hAnsi="Ebrima" w:cs="Times New Roman"/>
          <w:sz w:val="24"/>
          <w:szCs w:val="24"/>
          <w:lang w:bidi="ta-IN"/>
        </w:rPr>
      </w:pPr>
      <w:r w:rsidRPr="003A76C0">
        <w:rPr>
          <w:rFonts w:ascii="Ebrima" w:eastAsia="Times New Roman" w:hAnsi="Ebrima" w:cs="Times New Roman"/>
          <w:sz w:val="24"/>
          <w:szCs w:val="24"/>
          <w:lang w:bidi="ta-IN"/>
        </w:rPr>
        <w:t>There are primarily three types</w:t>
      </w:r>
      <w:r w:rsidR="00253300" w:rsidRPr="003A76C0">
        <w:rPr>
          <w:rFonts w:ascii="Ebrima" w:eastAsia="Times New Roman" w:hAnsi="Ebrima" w:cs="Times New Roman"/>
          <w:sz w:val="24"/>
          <w:szCs w:val="24"/>
          <w:lang w:bidi="ta-IN"/>
        </w:rPr>
        <w:t xml:space="preserve"> of OMO</w:t>
      </w:r>
      <w:r w:rsidR="0047576C" w:rsidRPr="003A76C0">
        <w:rPr>
          <w:rFonts w:ascii="Ebrima" w:eastAsia="Times New Roman" w:hAnsi="Ebrima" w:cs="Times New Roman"/>
          <w:sz w:val="24"/>
          <w:szCs w:val="24"/>
          <w:lang w:bidi="ta-IN"/>
        </w:rPr>
        <w:t xml:space="preserve"> auctions</w:t>
      </w:r>
      <w:r w:rsidRPr="003A76C0">
        <w:rPr>
          <w:rFonts w:ascii="Ebrima" w:eastAsia="Times New Roman" w:hAnsi="Ebrima" w:cs="Times New Roman"/>
          <w:sz w:val="24"/>
          <w:szCs w:val="24"/>
          <w:lang w:bidi="ta-IN"/>
        </w:rPr>
        <w:t xml:space="preserve"> i.e. repo/reverse repo auctions, outright auctions to purchase/sale T-bills and foreign exchange SWAP auctions.</w:t>
      </w:r>
      <w:r w:rsidR="004377B8">
        <w:rPr>
          <w:rFonts w:ascii="Ebrima" w:eastAsia="Times New Roman" w:hAnsi="Ebrima" w:cs="Times New Roman"/>
          <w:sz w:val="24"/>
          <w:szCs w:val="24"/>
          <w:lang w:bidi="ta-IN"/>
        </w:rPr>
        <w:t xml:space="preserve"> </w:t>
      </w:r>
      <w:r w:rsidR="004377B8" w:rsidRPr="004377B8">
        <w:rPr>
          <w:rFonts w:ascii="Ebrima" w:eastAsia="Times New Roman" w:hAnsi="Ebrima" w:cs="Times New Roman"/>
          <w:sz w:val="24"/>
          <w:szCs w:val="24"/>
          <w:lang w:bidi="ta-IN"/>
        </w:rPr>
        <w:t>The auction</w:t>
      </w:r>
      <w:r w:rsidR="004377B8">
        <w:rPr>
          <w:rFonts w:ascii="Ebrima" w:eastAsia="Times New Roman" w:hAnsi="Ebrima" w:cs="Times New Roman"/>
          <w:sz w:val="24"/>
          <w:szCs w:val="24"/>
          <w:lang w:bidi="ta-IN"/>
        </w:rPr>
        <w:t xml:space="preserve">s are </w:t>
      </w:r>
      <w:r w:rsidR="004377B8" w:rsidRPr="004377B8">
        <w:rPr>
          <w:rFonts w:ascii="Ebrima" w:eastAsia="Times New Roman" w:hAnsi="Ebrima" w:cs="Times New Roman"/>
          <w:sz w:val="24"/>
          <w:szCs w:val="24"/>
          <w:lang w:bidi="ta-IN"/>
        </w:rPr>
        <w:t xml:space="preserve">on a multiple bid, multiple price system. Participants in the money market could make up to three bids at each short term auction and up to six bids at </w:t>
      </w:r>
      <w:r w:rsidR="004377B8" w:rsidRPr="004377B8">
        <w:rPr>
          <w:rFonts w:ascii="Ebrima" w:eastAsia="Times New Roman" w:hAnsi="Ebrima" w:cs="Times New Roman"/>
          <w:sz w:val="24"/>
          <w:szCs w:val="24"/>
          <w:lang w:bidi="ta-IN"/>
        </w:rPr>
        <w:lastRenderedPageBreak/>
        <w:t>each long term auction and the successful bidders would receive their requests at the rates quoted in the relevant bid.</w:t>
      </w:r>
    </w:p>
    <w:p w:rsidR="00D55724" w:rsidRPr="003A76C0" w:rsidRDefault="004377B8" w:rsidP="004377B8">
      <w:pPr>
        <w:spacing w:before="100" w:beforeAutospacing="1" w:after="100" w:afterAutospacing="1" w:line="360" w:lineRule="auto"/>
        <w:jc w:val="both"/>
        <w:rPr>
          <w:rFonts w:ascii="Ebrima" w:eastAsia="Times New Roman" w:hAnsi="Ebrima" w:cs="Times New Roman"/>
          <w:sz w:val="24"/>
          <w:szCs w:val="24"/>
          <w:lang w:bidi="ta-IN"/>
        </w:rPr>
      </w:pPr>
      <w:r w:rsidRPr="004377B8">
        <w:rPr>
          <w:rFonts w:ascii="Ebrima" w:eastAsia="Times New Roman" w:hAnsi="Ebrima" w:cs="Times New Roman"/>
          <w:sz w:val="24"/>
          <w:szCs w:val="24"/>
          <w:lang w:bidi="ta-IN"/>
        </w:rPr>
        <w:t xml:space="preserve"> </w:t>
      </w:r>
      <w:r w:rsidRPr="004377B8">
        <w:rPr>
          <w:rFonts w:ascii="Ebrima" w:eastAsia="Times New Roman" w:hAnsi="Ebrima" w:cs="Times New Roman"/>
          <w:sz w:val="24"/>
          <w:szCs w:val="24"/>
          <w:lang w:bidi="ta-IN"/>
        </w:rPr>
        <w:tab/>
      </w:r>
    </w:p>
    <w:p w:rsidR="00CD77CB" w:rsidRPr="003A76C0" w:rsidRDefault="00CD77CB" w:rsidP="00884FEC">
      <w:pPr>
        <w:pStyle w:val="ListParagraph"/>
        <w:numPr>
          <w:ilvl w:val="0"/>
          <w:numId w:val="6"/>
        </w:numPr>
        <w:spacing w:before="100" w:beforeAutospacing="1" w:after="100" w:afterAutospacing="1" w:line="360" w:lineRule="auto"/>
        <w:jc w:val="both"/>
        <w:rPr>
          <w:rFonts w:ascii="Ebrima" w:eastAsia="Times New Roman" w:hAnsi="Ebrima" w:cs="Times New Roman"/>
          <w:b/>
          <w:bCs/>
          <w:sz w:val="24"/>
          <w:szCs w:val="24"/>
          <w:lang w:bidi="ta-IN"/>
        </w:rPr>
      </w:pPr>
      <w:r w:rsidRPr="003A76C0">
        <w:rPr>
          <w:rFonts w:ascii="Ebrima" w:eastAsia="Times New Roman" w:hAnsi="Ebrima" w:cs="Times New Roman"/>
          <w:b/>
          <w:bCs/>
          <w:sz w:val="24"/>
          <w:szCs w:val="24"/>
          <w:lang w:bidi="ta-IN"/>
        </w:rPr>
        <w:t xml:space="preserve">Repo/ Reverse Repo Auctions </w:t>
      </w:r>
    </w:p>
    <w:p w:rsidR="00CD77CB" w:rsidRPr="003A76C0" w:rsidRDefault="00CD77CB" w:rsidP="00CD77CB">
      <w:pPr>
        <w:spacing w:before="100" w:beforeAutospacing="1" w:after="100" w:afterAutospacing="1" w:line="360" w:lineRule="auto"/>
        <w:contextualSpacing/>
        <w:jc w:val="both"/>
        <w:rPr>
          <w:rFonts w:ascii="Ebrima" w:eastAsia="Times New Roman" w:hAnsi="Ebrima" w:cs="Times New Roman"/>
          <w:sz w:val="24"/>
          <w:szCs w:val="24"/>
          <w:lang w:bidi="ta-IN"/>
        </w:rPr>
      </w:pPr>
      <w:r w:rsidRPr="003A76C0">
        <w:rPr>
          <w:rFonts w:ascii="Ebrima" w:eastAsia="Times New Roman" w:hAnsi="Ebrima" w:cs="Times New Roman"/>
          <w:sz w:val="24"/>
          <w:szCs w:val="24"/>
          <w:lang w:bidi="ta-IN"/>
        </w:rPr>
        <w:t xml:space="preserve">These are conducted either to inject or absorb market liquidity temporarily.  If </w:t>
      </w:r>
      <w:r w:rsidR="00253300" w:rsidRPr="003A76C0">
        <w:rPr>
          <w:rFonts w:ascii="Ebrima" w:eastAsia="Times New Roman" w:hAnsi="Ebrima" w:cs="Times New Roman"/>
          <w:sz w:val="24"/>
          <w:szCs w:val="24"/>
          <w:lang w:bidi="ta-IN"/>
        </w:rPr>
        <w:t xml:space="preserve">the </w:t>
      </w:r>
      <w:r w:rsidRPr="003A76C0">
        <w:rPr>
          <w:rFonts w:ascii="Ebrima" w:eastAsia="Times New Roman" w:hAnsi="Ebrima" w:cs="Times New Roman"/>
          <w:sz w:val="24"/>
          <w:szCs w:val="24"/>
          <w:lang w:bidi="ta-IN"/>
        </w:rPr>
        <w:t xml:space="preserve">market is in a surplus, a repo auction is conducted to absorb excess liquidity and vice versa. The auction is on a multiple bid, multiple price system. The amount of the auction depends on the overall liquidity excess or shortfall, prevailing interest rate level as well as the macroeconomic environment of the country. The tenure of the auction is also determined based on the availability of the market liquidity. </w:t>
      </w:r>
      <w:r w:rsidR="00674F7D" w:rsidRPr="003A76C0">
        <w:rPr>
          <w:rFonts w:ascii="Ebrima" w:eastAsia="Times New Roman" w:hAnsi="Ebrima" w:cs="Times New Roman"/>
          <w:sz w:val="24"/>
          <w:szCs w:val="24"/>
          <w:lang w:bidi="ta-IN"/>
        </w:rPr>
        <w:t>In effect,</w:t>
      </w:r>
      <w:r w:rsidR="00DA62DE" w:rsidRPr="003A76C0">
        <w:rPr>
          <w:rFonts w:ascii="Ebrima" w:eastAsia="Times New Roman" w:hAnsi="Ebrima" w:cs="Times New Roman"/>
          <w:sz w:val="24"/>
          <w:szCs w:val="24"/>
          <w:lang w:bidi="ta-IN"/>
        </w:rPr>
        <w:t xml:space="preserve"> </w:t>
      </w:r>
      <w:r w:rsidR="00674F7D" w:rsidRPr="003A76C0">
        <w:rPr>
          <w:rFonts w:ascii="Ebrima" w:eastAsia="Times New Roman" w:hAnsi="Ebrima" w:cs="Times New Roman"/>
          <w:sz w:val="24"/>
          <w:szCs w:val="24"/>
          <w:lang w:bidi="ta-IN"/>
        </w:rPr>
        <w:t>u</w:t>
      </w:r>
      <w:r w:rsidR="00031037" w:rsidRPr="003A76C0">
        <w:rPr>
          <w:rFonts w:ascii="Ebrima" w:eastAsia="Times New Roman" w:hAnsi="Ebrima" w:cs="Times New Roman"/>
          <w:sz w:val="24"/>
          <w:szCs w:val="24"/>
          <w:lang w:bidi="ta-IN"/>
        </w:rPr>
        <w:t xml:space="preserve">nder these auctions CBSL </w:t>
      </w:r>
      <w:r w:rsidR="00674F7D" w:rsidRPr="003A76C0">
        <w:rPr>
          <w:rFonts w:ascii="Ebrima" w:eastAsia="Times New Roman" w:hAnsi="Ebrima" w:cs="Times New Roman"/>
          <w:sz w:val="24"/>
          <w:szCs w:val="24"/>
          <w:lang w:bidi="ta-IN"/>
        </w:rPr>
        <w:t xml:space="preserve">either </w:t>
      </w:r>
      <w:r w:rsidR="00031037" w:rsidRPr="003A76C0">
        <w:rPr>
          <w:rFonts w:ascii="Ebrima" w:eastAsia="Times New Roman" w:hAnsi="Ebrima" w:cs="Times New Roman"/>
          <w:sz w:val="24"/>
          <w:szCs w:val="24"/>
          <w:lang w:bidi="ta-IN"/>
        </w:rPr>
        <w:t>sells</w:t>
      </w:r>
      <w:r w:rsidR="00674F7D" w:rsidRPr="003A76C0">
        <w:rPr>
          <w:rFonts w:ascii="Ebrima" w:eastAsia="Times New Roman" w:hAnsi="Ebrima" w:cs="Times New Roman"/>
          <w:sz w:val="24"/>
          <w:szCs w:val="24"/>
          <w:lang w:bidi="ta-IN"/>
        </w:rPr>
        <w:t>(a repo)</w:t>
      </w:r>
      <w:r w:rsidR="00031037" w:rsidRPr="003A76C0">
        <w:rPr>
          <w:rFonts w:ascii="Ebrima" w:eastAsia="Times New Roman" w:hAnsi="Ebrima" w:cs="Times New Roman"/>
          <w:sz w:val="24"/>
          <w:szCs w:val="24"/>
          <w:lang w:bidi="ta-IN"/>
        </w:rPr>
        <w:t>/ purchases</w:t>
      </w:r>
      <w:r w:rsidR="00674F7D" w:rsidRPr="003A76C0">
        <w:rPr>
          <w:rFonts w:ascii="Ebrima" w:eastAsia="Times New Roman" w:hAnsi="Ebrima" w:cs="Times New Roman"/>
          <w:sz w:val="24"/>
          <w:szCs w:val="24"/>
          <w:lang w:bidi="ta-IN"/>
        </w:rPr>
        <w:t>(a reverse repo)</w:t>
      </w:r>
      <w:r w:rsidR="00031037" w:rsidRPr="003A76C0">
        <w:rPr>
          <w:rFonts w:ascii="Ebrima" w:eastAsia="Times New Roman" w:hAnsi="Ebrima" w:cs="Times New Roman"/>
          <w:sz w:val="24"/>
          <w:szCs w:val="24"/>
          <w:lang w:bidi="ta-IN"/>
        </w:rPr>
        <w:t xml:space="preserve"> </w:t>
      </w:r>
      <w:r w:rsidR="0059229B" w:rsidRPr="003A76C0">
        <w:rPr>
          <w:rFonts w:ascii="Ebrima" w:eastAsia="Times New Roman" w:hAnsi="Ebrima" w:cs="Times New Roman"/>
          <w:sz w:val="24"/>
          <w:szCs w:val="24"/>
          <w:lang w:bidi="ta-IN"/>
        </w:rPr>
        <w:t>g</w:t>
      </w:r>
      <w:r w:rsidR="00031037" w:rsidRPr="003A76C0">
        <w:rPr>
          <w:rFonts w:ascii="Ebrima" w:eastAsia="Times New Roman" w:hAnsi="Ebrima" w:cs="Times New Roman"/>
          <w:sz w:val="24"/>
          <w:szCs w:val="24"/>
          <w:lang w:bidi="ta-IN"/>
        </w:rPr>
        <w:t xml:space="preserve">overnment </w:t>
      </w:r>
      <w:r w:rsidR="0059229B" w:rsidRPr="003A76C0">
        <w:rPr>
          <w:rFonts w:ascii="Ebrima" w:eastAsia="Times New Roman" w:hAnsi="Ebrima" w:cs="Times New Roman"/>
          <w:sz w:val="24"/>
          <w:szCs w:val="24"/>
          <w:lang w:bidi="ta-IN"/>
        </w:rPr>
        <w:t>s</w:t>
      </w:r>
      <w:r w:rsidR="00031037" w:rsidRPr="003A76C0">
        <w:rPr>
          <w:rFonts w:ascii="Ebrima" w:eastAsia="Times New Roman" w:hAnsi="Ebrima" w:cs="Times New Roman"/>
          <w:sz w:val="24"/>
          <w:szCs w:val="24"/>
          <w:lang w:bidi="ta-IN"/>
        </w:rPr>
        <w:t xml:space="preserve">ecurities </w:t>
      </w:r>
      <w:r w:rsidR="00674F7D" w:rsidRPr="003A76C0">
        <w:rPr>
          <w:rFonts w:ascii="Ebrima" w:eastAsia="Times New Roman" w:hAnsi="Ebrima" w:cs="Times New Roman"/>
          <w:sz w:val="24"/>
          <w:szCs w:val="24"/>
          <w:lang w:bidi="ta-IN"/>
        </w:rPr>
        <w:t>on temporary basis with an agreement to reverse the transaction after an agreed number of days.</w:t>
      </w:r>
      <w:r w:rsidR="00031037" w:rsidRPr="003A76C0">
        <w:rPr>
          <w:rFonts w:ascii="Ebrima" w:eastAsia="Times New Roman" w:hAnsi="Ebrima" w:cs="Times New Roman"/>
          <w:sz w:val="24"/>
          <w:szCs w:val="24"/>
          <w:lang w:bidi="ta-IN"/>
        </w:rPr>
        <w:t>.</w:t>
      </w:r>
    </w:p>
    <w:p w:rsidR="00CD77CB" w:rsidRPr="003A76C0" w:rsidRDefault="00CD77CB" w:rsidP="00CD77CB">
      <w:pPr>
        <w:spacing w:before="100" w:beforeAutospacing="1" w:after="100" w:afterAutospacing="1" w:line="360" w:lineRule="auto"/>
        <w:contextualSpacing/>
        <w:jc w:val="both"/>
        <w:rPr>
          <w:rFonts w:ascii="Ebrima" w:eastAsia="Times New Roman" w:hAnsi="Ebrima" w:cs="Times New Roman"/>
          <w:sz w:val="24"/>
          <w:szCs w:val="24"/>
          <w:lang w:bidi="ta-IN"/>
        </w:rPr>
      </w:pPr>
    </w:p>
    <w:p w:rsidR="00CD77CB" w:rsidRPr="003A76C0" w:rsidRDefault="00031037" w:rsidP="00CD77CB">
      <w:pPr>
        <w:spacing w:before="100" w:beforeAutospacing="1" w:after="100" w:afterAutospacing="1" w:line="360" w:lineRule="auto"/>
        <w:contextualSpacing/>
        <w:jc w:val="both"/>
        <w:rPr>
          <w:rFonts w:ascii="Ebrima" w:eastAsia="Times New Roman" w:hAnsi="Ebrima" w:cs="Times New Roman"/>
          <w:sz w:val="24"/>
          <w:szCs w:val="24"/>
          <w:lang w:bidi="ta-IN"/>
        </w:rPr>
      </w:pPr>
      <w:r w:rsidRPr="003A76C0">
        <w:rPr>
          <w:rFonts w:ascii="Ebrima" w:eastAsia="Times New Roman" w:hAnsi="Ebrima" w:cs="Times New Roman"/>
          <w:sz w:val="24"/>
          <w:szCs w:val="24"/>
          <w:lang w:bidi="ta-IN"/>
        </w:rPr>
        <w:t>In case of repo auctions, w</w:t>
      </w:r>
      <w:r w:rsidR="00CD77CB" w:rsidRPr="003A76C0">
        <w:rPr>
          <w:rFonts w:ascii="Ebrima" w:eastAsia="Times New Roman" w:hAnsi="Ebrima" w:cs="Times New Roman"/>
          <w:sz w:val="24"/>
          <w:szCs w:val="24"/>
          <w:lang w:bidi="ta-IN"/>
        </w:rPr>
        <w:t>hen the T-bill stock in the CBSL portfolio is not sufficient</w:t>
      </w:r>
      <w:r w:rsidRPr="003A76C0">
        <w:rPr>
          <w:rFonts w:ascii="Ebrima" w:eastAsia="Times New Roman" w:hAnsi="Ebrima" w:cs="Times New Roman"/>
          <w:sz w:val="24"/>
          <w:szCs w:val="24"/>
          <w:lang w:bidi="ta-IN"/>
        </w:rPr>
        <w:t>,</w:t>
      </w:r>
      <w:r w:rsidR="00CD77CB" w:rsidRPr="003A76C0">
        <w:rPr>
          <w:rFonts w:ascii="Ebrima" w:eastAsia="Times New Roman" w:hAnsi="Ebrima" w:cs="Times New Roman"/>
          <w:sz w:val="24"/>
          <w:szCs w:val="24"/>
          <w:lang w:bidi="ta-IN"/>
        </w:rPr>
        <w:t xml:space="preserve"> the CBSL uses one of the two options </w:t>
      </w:r>
      <w:r w:rsidRPr="003A76C0">
        <w:rPr>
          <w:rFonts w:ascii="Ebrima" w:eastAsia="Times New Roman" w:hAnsi="Ebrima" w:cs="Times New Roman"/>
          <w:sz w:val="24"/>
          <w:szCs w:val="24"/>
          <w:lang w:bidi="ta-IN"/>
        </w:rPr>
        <w:t>of issuing</w:t>
      </w:r>
      <w:r w:rsidR="00CD77CB" w:rsidRPr="003A76C0">
        <w:rPr>
          <w:rFonts w:ascii="Ebrima" w:eastAsia="Times New Roman" w:hAnsi="Ebrima" w:cs="Times New Roman"/>
          <w:sz w:val="24"/>
          <w:szCs w:val="24"/>
          <w:lang w:bidi="ta-IN"/>
        </w:rPr>
        <w:t xml:space="preserve"> </w:t>
      </w:r>
      <w:r w:rsidRPr="003A76C0">
        <w:rPr>
          <w:rFonts w:ascii="Ebrima" w:eastAsia="Times New Roman" w:hAnsi="Ebrima" w:cs="Times New Roman"/>
          <w:sz w:val="24"/>
          <w:szCs w:val="24"/>
          <w:lang w:bidi="ta-IN"/>
        </w:rPr>
        <w:t xml:space="preserve">its own securities called </w:t>
      </w:r>
      <w:r w:rsidR="00CD77CB" w:rsidRPr="003A76C0">
        <w:rPr>
          <w:rFonts w:ascii="Ebrima" w:eastAsia="Times New Roman" w:hAnsi="Ebrima" w:cs="Times New Roman"/>
          <w:sz w:val="24"/>
          <w:szCs w:val="24"/>
          <w:lang w:bidi="ta-IN"/>
        </w:rPr>
        <w:t xml:space="preserve">CBSL securities or </w:t>
      </w:r>
      <w:r w:rsidRPr="003A76C0">
        <w:rPr>
          <w:rFonts w:ascii="Ebrima" w:eastAsia="Times New Roman" w:hAnsi="Ebrima" w:cs="Times New Roman"/>
          <w:sz w:val="24"/>
          <w:szCs w:val="24"/>
          <w:lang w:bidi="ta-IN"/>
        </w:rPr>
        <w:t xml:space="preserve">initiating </w:t>
      </w:r>
      <w:r w:rsidR="00CD77CB" w:rsidRPr="003A76C0">
        <w:rPr>
          <w:rFonts w:ascii="Ebrima" w:eastAsia="Times New Roman" w:hAnsi="Ebrima" w:cs="Times New Roman"/>
          <w:sz w:val="24"/>
          <w:szCs w:val="24"/>
          <w:lang w:bidi="ta-IN"/>
        </w:rPr>
        <w:t xml:space="preserve">Bond Borrowing </w:t>
      </w:r>
      <w:proofErr w:type="spellStart"/>
      <w:r w:rsidR="00CD77CB" w:rsidRPr="003A76C0">
        <w:rPr>
          <w:rFonts w:ascii="Ebrima" w:eastAsia="Times New Roman" w:hAnsi="Ebrima" w:cs="Times New Roman"/>
          <w:sz w:val="24"/>
          <w:szCs w:val="24"/>
          <w:lang w:bidi="ta-IN"/>
        </w:rPr>
        <w:t>Programme</w:t>
      </w:r>
      <w:proofErr w:type="spellEnd"/>
      <w:r w:rsidR="00CD77CB" w:rsidRPr="003A76C0">
        <w:rPr>
          <w:rFonts w:ascii="Ebrima" w:eastAsia="Times New Roman" w:hAnsi="Ebrima" w:cs="Times New Roman"/>
          <w:sz w:val="24"/>
          <w:szCs w:val="24"/>
          <w:lang w:bidi="ta-IN"/>
        </w:rPr>
        <w:t xml:space="preserve"> (BBP).  Under BBP CBSL borrows bonds temporarily to use from large stakeholders such as Employees Provident Fund (EPF). If the maturity of the auction is 1-7 days, they are termed as short term auctions, and if the maturity of the auction is above 7 days but less than 90 days, they are called long term auctions.</w:t>
      </w:r>
    </w:p>
    <w:p w:rsidR="00884FEC" w:rsidRPr="003A76C0" w:rsidRDefault="00884FEC" w:rsidP="00884FEC">
      <w:pPr>
        <w:pStyle w:val="ListParagraph"/>
        <w:numPr>
          <w:ilvl w:val="0"/>
          <w:numId w:val="6"/>
        </w:numPr>
        <w:spacing w:before="100" w:beforeAutospacing="1" w:after="100" w:afterAutospacing="1" w:line="360" w:lineRule="auto"/>
        <w:jc w:val="both"/>
        <w:rPr>
          <w:rFonts w:ascii="Ebrima" w:eastAsia="Times New Roman" w:hAnsi="Ebrima" w:cs="Times New Roman"/>
          <w:b/>
          <w:sz w:val="24"/>
          <w:szCs w:val="24"/>
          <w:lang w:bidi="ta-IN"/>
        </w:rPr>
      </w:pPr>
      <w:r w:rsidRPr="003A76C0">
        <w:rPr>
          <w:rFonts w:ascii="Ebrima" w:eastAsia="Times New Roman" w:hAnsi="Ebrima" w:cs="Times New Roman"/>
          <w:b/>
          <w:sz w:val="24"/>
          <w:szCs w:val="24"/>
          <w:lang w:bidi="ta-IN"/>
        </w:rPr>
        <w:t xml:space="preserve">Outright Auctions </w:t>
      </w:r>
    </w:p>
    <w:p w:rsidR="00CD77CB" w:rsidRPr="003A76C0" w:rsidRDefault="00884FEC" w:rsidP="008C1667">
      <w:pPr>
        <w:pStyle w:val="ListParagraph"/>
        <w:numPr>
          <w:ilvl w:val="0"/>
          <w:numId w:val="6"/>
        </w:numPr>
        <w:spacing w:before="100" w:beforeAutospacing="1" w:after="100" w:afterAutospacing="1" w:line="360" w:lineRule="auto"/>
        <w:jc w:val="both"/>
        <w:rPr>
          <w:rFonts w:ascii="Ebrima" w:eastAsia="Times New Roman" w:hAnsi="Ebrima" w:cs="Times New Roman"/>
          <w:b/>
          <w:bCs/>
          <w:sz w:val="24"/>
          <w:szCs w:val="24"/>
          <w:lang w:bidi="ta-IN"/>
        </w:rPr>
      </w:pPr>
      <w:r w:rsidRPr="003A76C0">
        <w:rPr>
          <w:rFonts w:ascii="Ebrima" w:eastAsia="Times New Roman" w:hAnsi="Ebrima" w:cs="Times New Roman"/>
          <w:sz w:val="24"/>
          <w:szCs w:val="24"/>
          <w:lang w:bidi="ta-IN"/>
        </w:rPr>
        <w:t xml:space="preserve">These are conducted to address the long term liquidity </w:t>
      </w:r>
      <w:r w:rsidR="0091161F" w:rsidRPr="003A76C0">
        <w:rPr>
          <w:rFonts w:ascii="Ebrima" w:eastAsia="Times New Roman" w:hAnsi="Ebrima" w:cs="Times New Roman"/>
          <w:sz w:val="24"/>
          <w:szCs w:val="24"/>
          <w:lang w:bidi="ta-IN"/>
        </w:rPr>
        <w:t xml:space="preserve">deficits/excesses  </w:t>
      </w:r>
      <w:r w:rsidRPr="003A76C0">
        <w:rPr>
          <w:rFonts w:ascii="Ebrima" w:eastAsia="Times New Roman" w:hAnsi="Ebrima" w:cs="Times New Roman"/>
          <w:sz w:val="24"/>
          <w:szCs w:val="24"/>
          <w:lang w:bidi="ta-IN"/>
        </w:rPr>
        <w:t xml:space="preserve">and, therefore, to absorb or inject liquidity </w:t>
      </w:r>
      <w:r w:rsidR="0091161F" w:rsidRPr="003A76C0">
        <w:rPr>
          <w:rFonts w:ascii="Ebrima" w:eastAsia="Times New Roman" w:hAnsi="Ebrima" w:cs="Times New Roman"/>
          <w:sz w:val="24"/>
          <w:szCs w:val="24"/>
          <w:lang w:bidi="ta-IN"/>
        </w:rPr>
        <w:t xml:space="preserve">on a </w:t>
      </w:r>
      <w:r w:rsidRPr="003A76C0">
        <w:rPr>
          <w:rFonts w:ascii="Ebrima" w:eastAsia="Times New Roman" w:hAnsi="Ebrima" w:cs="Times New Roman"/>
          <w:sz w:val="24"/>
          <w:szCs w:val="24"/>
          <w:lang w:bidi="ta-IN"/>
        </w:rPr>
        <w:t>permanent</w:t>
      </w:r>
      <w:r w:rsidR="0091161F" w:rsidRPr="003A76C0">
        <w:rPr>
          <w:rFonts w:ascii="Ebrima" w:eastAsia="Times New Roman" w:hAnsi="Ebrima" w:cs="Times New Roman"/>
          <w:sz w:val="24"/>
          <w:szCs w:val="24"/>
          <w:lang w:bidi="ta-IN"/>
        </w:rPr>
        <w:t xml:space="preserve"> basis</w:t>
      </w:r>
      <w:r w:rsidRPr="003A76C0">
        <w:rPr>
          <w:rFonts w:ascii="Ebrima" w:eastAsia="Times New Roman" w:hAnsi="Ebrima" w:cs="Times New Roman"/>
          <w:sz w:val="24"/>
          <w:szCs w:val="24"/>
          <w:lang w:bidi="ta-IN"/>
        </w:rPr>
        <w:t>. If the market liquidity is relatively</w:t>
      </w:r>
      <w:r w:rsidR="00DE1E67" w:rsidRPr="003A76C0">
        <w:rPr>
          <w:rFonts w:ascii="Ebrima" w:eastAsia="Times New Roman" w:hAnsi="Ebrima" w:cs="Times New Roman"/>
          <w:sz w:val="24"/>
          <w:szCs w:val="24"/>
          <w:lang w:bidi="ta-IN"/>
        </w:rPr>
        <w:t xml:space="preserve"> a</w:t>
      </w:r>
      <w:r w:rsidRPr="003A76C0">
        <w:rPr>
          <w:rFonts w:ascii="Ebrima" w:eastAsia="Times New Roman" w:hAnsi="Ebrima" w:cs="Times New Roman"/>
          <w:sz w:val="24"/>
          <w:szCs w:val="24"/>
          <w:lang w:bidi="ta-IN"/>
        </w:rPr>
        <w:t xml:space="preserve"> large surplus and is likely to persist for a long period, the MOC decides to sell </w:t>
      </w:r>
      <w:r w:rsidR="00DE1E67" w:rsidRPr="003A76C0">
        <w:rPr>
          <w:rFonts w:ascii="Ebrima" w:eastAsia="Times New Roman" w:hAnsi="Ebrima" w:cs="Times New Roman"/>
          <w:sz w:val="24"/>
          <w:szCs w:val="24"/>
          <w:lang w:bidi="ta-IN"/>
        </w:rPr>
        <w:t xml:space="preserve">government securities </w:t>
      </w:r>
      <w:r w:rsidRPr="003A76C0">
        <w:rPr>
          <w:rFonts w:ascii="Ebrima" w:eastAsia="Times New Roman" w:hAnsi="Ebrima" w:cs="Times New Roman"/>
          <w:sz w:val="24"/>
          <w:szCs w:val="24"/>
          <w:lang w:bidi="ta-IN"/>
        </w:rPr>
        <w:t xml:space="preserve"> outright</w:t>
      </w:r>
      <w:r w:rsidR="005B1CA1" w:rsidRPr="003A76C0">
        <w:rPr>
          <w:rFonts w:ascii="Ebrima" w:eastAsia="Times New Roman" w:hAnsi="Ebrima" w:cs="Times New Roman"/>
          <w:sz w:val="24"/>
          <w:szCs w:val="24"/>
          <w:lang w:bidi="ta-IN"/>
        </w:rPr>
        <w:t xml:space="preserve"> in the secondary </w:t>
      </w:r>
      <w:r w:rsidR="005B1CA1" w:rsidRPr="003A76C0">
        <w:rPr>
          <w:rFonts w:ascii="Ebrima" w:eastAsia="Times New Roman" w:hAnsi="Ebrima" w:cs="Times New Roman"/>
          <w:sz w:val="24"/>
          <w:szCs w:val="24"/>
          <w:lang w:bidi="ta-IN"/>
        </w:rPr>
        <w:lastRenderedPageBreak/>
        <w:t xml:space="preserve">market </w:t>
      </w:r>
      <w:r w:rsidRPr="003A76C0">
        <w:rPr>
          <w:rFonts w:ascii="Ebrima" w:eastAsia="Times New Roman" w:hAnsi="Ebrima" w:cs="Times New Roman"/>
          <w:sz w:val="24"/>
          <w:szCs w:val="24"/>
          <w:lang w:bidi="ta-IN"/>
        </w:rPr>
        <w:t xml:space="preserve"> out of the holdings of the CBSL </w:t>
      </w:r>
      <w:r w:rsidR="00DE1E67" w:rsidRPr="003A76C0">
        <w:rPr>
          <w:rFonts w:ascii="Ebrima" w:eastAsia="Times New Roman" w:hAnsi="Ebrima" w:cs="Times New Roman"/>
          <w:sz w:val="24"/>
          <w:szCs w:val="24"/>
          <w:lang w:bidi="ta-IN"/>
        </w:rPr>
        <w:t xml:space="preserve">in order to  </w:t>
      </w:r>
      <w:r w:rsidRPr="003A76C0">
        <w:rPr>
          <w:rFonts w:ascii="Ebrima" w:eastAsia="Times New Roman" w:hAnsi="Ebrima" w:cs="Times New Roman"/>
          <w:sz w:val="24"/>
          <w:szCs w:val="24"/>
          <w:lang w:bidi="ta-IN"/>
        </w:rPr>
        <w:t xml:space="preserve">absorb liquidity permanently. Similarly, a long term liquidity shortage would be removed by purchasing </w:t>
      </w:r>
      <w:r w:rsidR="00DE1E67" w:rsidRPr="003A76C0">
        <w:rPr>
          <w:rFonts w:ascii="Ebrima" w:eastAsia="Times New Roman" w:hAnsi="Ebrima" w:cs="Times New Roman"/>
          <w:sz w:val="24"/>
          <w:szCs w:val="24"/>
          <w:lang w:bidi="ta-IN"/>
        </w:rPr>
        <w:t xml:space="preserve">government  securities </w:t>
      </w:r>
      <w:r w:rsidRPr="003A76C0">
        <w:rPr>
          <w:rFonts w:ascii="Ebrima" w:eastAsia="Times New Roman" w:hAnsi="Ebrima" w:cs="Times New Roman"/>
          <w:sz w:val="24"/>
          <w:szCs w:val="24"/>
          <w:lang w:bidi="ta-IN"/>
        </w:rPr>
        <w:t xml:space="preserve"> in the secondary market</w:t>
      </w:r>
      <w:r w:rsidR="00A07623" w:rsidRPr="003A76C0">
        <w:rPr>
          <w:rFonts w:ascii="Ebrima" w:eastAsia="Times New Roman" w:hAnsi="Ebrima" w:cs="Times New Roman"/>
          <w:sz w:val="24"/>
          <w:szCs w:val="24"/>
          <w:lang w:bidi="ta-IN"/>
        </w:rPr>
        <w:t>.</w:t>
      </w:r>
      <w:r w:rsidRPr="003A76C0">
        <w:rPr>
          <w:rFonts w:ascii="Ebrima" w:eastAsia="Times New Roman" w:hAnsi="Ebrima" w:cs="Times New Roman"/>
          <w:sz w:val="24"/>
          <w:szCs w:val="24"/>
          <w:lang w:bidi="ta-IN"/>
        </w:rPr>
        <w:t xml:space="preserve"> </w:t>
      </w:r>
      <w:proofErr w:type="spellStart"/>
      <w:r w:rsidR="00CD77CB" w:rsidRPr="003A76C0">
        <w:rPr>
          <w:rFonts w:ascii="Ebrima" w:eastAsia="Times New Roman" w:hAnsi="Ebrima" w:cs="Times New Roman"/>
          <w:b/>
          <w:bCs/>
          <w:sz w:val="24"/>
          <w:szCs w:val="24"/>
          <w:lang w:bidi="ta-IN"/>
        </w:rPr>
        <w:t>Forex</w:t>
      </w:r>
      <w:proofErr w:type="spellEnd"/>
      <w:r w:rsidR="00CD77CB" w:rsidRPr="003A76C0">
        <w:rPr>
          <w:rFonts w:ascii="Ebrima" w:eastAsia="Times New Roman" w:hAnsi="Ebrima" w:cs="Times New Roman"/>
          <w:b/>
          <w:bCs/>
          <w:sz w:val="24"/>
          <w:szCs w:val="24"/>
          <w:lang w:bidi="ta-IN"/>
        </w:rPr>
        <w:t xml:space="preserve"> SWAP auctions</w:t>
      </w:r>
    </w:p>
    <w:p w:rsidR="00CD77CB" w:rsidRPr="003A76C0" w:rsidRDefault="00CD77CB" w:rsidP="00CD77CB">
      <w:pPr>
        <w:spacing w:before="100" w:beforeAutospacing="1" w:after="100" w:afterAutospacing="1" w:line="360" w:lineRule="auto"/>
        <w:jc w:val="both"/>
        <w:rPr>
          <w:rFonts w:ascii="Ebrima" w:eastAsia="Times New Roman" w:hAnsi="Ebrima" w:cs="Times New Roman"/>
          <w:b/>
          <w:bCs/>
          <w:sz w:val="24"/>
          <w:szCs w:val="24"/>
          <w:lang w:bidi="ta-IN"/>
        </w:rPr>
      </w:pPr>
      <w:r w:rsidRPr="003A76C0">
        <w:rPr>
          <w:rFonts w:ascii="Ebrima" w:eastAsia="Times New Roman" w:hAnsi="Ebrima" w:cs="Times New Roman"/>
          <w:sz w:val="24"/>
          <w:szCs w:val="24"/>
          <w:lang w:bidi="ta-IN"/>
        </w:rPr>
        <w:t xml:space="preserve">. A </w:t>
      </w:r>
      <w:proofErr w:type="spellStart"/>
      <w:r w:rsidRPr="003A76C0">
        <w:rPr>
          <w:rFonts w:ascii="Ebrima" w:eastAsia="Times New Roman" w:hAnsi="Ebrima" w:cs="Times New Roman"/>
          <w:sz w:val="24"/>
          <w:szCs w:val="24"/>
          <w:lang w:bidi="ta-IN"/>
        </w:rPr>
        <w:t>forex</w:t>
      </w:r>
      <w:proofErr w:type="spellEnd"/>
      <w:r w:rsidRPr="003A76C0">
        <w:rPr>
          <w:rFonts w:ascii="Ebrima" w:eastAsia="Times New Roman" w:hAnsi="Ebrima" w:cs="Times New Roman"/>
          <w:sz w:val="24"/>
          <w:szCs w:val="24"/>
          <w:lang w:bidi="ta-IN"/>
        </w:rPr>
        <w:t xml:space="preserve"> SWAP involves the purchase of one currency against another at an initial date with an agreement to reverse the transaction at a future date and at a specified rate. A </w:t>
      </w:r>
      <w:proofErr w:type="spellStart"/>
      <w:r w:rsidRPr="003A76C0">
        <w:rPr>
          <w:rFonts w:ascii="Ebrima" w:eastAsia="Times New Roman" w:hAnsi="Ebrima" w:cs="Times New Roman"/>
          <w:sz w:val="24"/>
          <w:szCs w:val="24"/>
          <w:lang w:bidi="ta-IN"/>
        </w:rPr>
        <w:t>forex</w:t>
      </w:r>
      <w:proofErr w:type="spellEnd"/>
      <w:r w:rsidRPr="003A76C0">
        <w:rPr>
          <w:rFonts w:ascii="Ebrima" w:eastAsia="Times New Roman" w:hAnsi="Ebrima" w:cs="Times New Roman"/>
          <w:sz w:val="24"/>
          <w:szCs w:val="24"/>
          <w:lang w:bidi="ta-IN"/>
        </w:rPr>
        <w:t xml:space="preserve"> SWAP transaction is similar to a repo transaction where the collateral of a security is replaced by foreign currency. A buy-sell SWAP injects rupees to the market and a sell- buy SWAP absorbs liquidity from the market</w:t>
      </w:r>
      <w:r w:rsidR="00031037" w:rsidRPr="003A76C0">
        <w:rPr>
          <w:rFonts w:ascii="Ebrima" w:eastAsia="Times New Roman" w:hAnsi="Ebrima" w:cs="Times New Roman"/>
          <w:sz w:val="24"/>
          <w:szCs w:val="24"/>
          <w:lang w:bidi="ta-IN"/>
        </w:rPr>
        <w:t xml:space="preserve"> in the first leg and reverses the effect in the second leg. </w:t>
      </w:r>
    </w:p>
    <w:p w:rsidR="00CD77CB" w:rsidRPr="003A76C0" w:rsidRDefault="00CD77CB" w:rsidP="00CD77CB">
      <w:pPr>
        <w:spacing w:before="100" w:beforeAutospacing="1" w:after="100" w:afterAutospacing="1" w:line="360" w:lineRule="auto"/>
        <w:jc w:val="both"/>
        <w:rPr>
          <w:rFonts w:ascii="Ebrima" w:eastAsia="Times New Roman" w:hAnsi="Ebrima" w:cs="Times New Roman"/>
          <w:sz w:val="24"/>
          <w:szCs w:val="24"/>
          <w:lang w:bidi="ta-IN"/>
        </w:rPr>
      </w:pPr>
      <w:r w:rsidRPr="003A76C0">
        <w:rPr>
          <w:rFonts w:ascii="Ebrima" w:eastAsia="Times New Roman" w:hAnsi="Ebrima" w:cs="Times New Roman"/>
          <w:sz w:val="24"/>
          <w:szCs w:val="24"/>
          <w:lang w:bidi="ta-IN"/>
        </w:rPr>
        <w:t xml:space="preserve">. </w:t>
      </w:r>
    </w:p>
    <w:p w:rsidR="000845C2" w:rsidRPr="003A76C0" w:rsidRDefault="000845C2" w:rsidP="003A76C0">
      <w:pPr>
        <w:spacing w:before="100" w:beforeAutospacing="1" w:after="100" w:afterAutospacing="1" w:line="360" w:lineRule="auto"/>
        <w:jc w:val="both"/>
        <w:rPr>
          <w:rFonts w:ascii="Ebrima" w:hAnsi="Ebrima" w:cs="Times New Roman"/>
          <w:sz w:val="24"/>
          <w:szCs w:val="24"/>
        </w:rPr>
      </w:pPr>
    </w:p>
    <w:sectPr w:rsidR="000845C2" w:rsidRPr="003A76C0" w:rsidSect="003A76C0">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65" w:rsidRDefault="003B5665" w:rsidP="0033189D">
      <w:pPr>
        <w:spacing w:after="0" w:line="240" w:lineRule="auto"/>
      </w:pPr>
      <w:r>
        <w:separator/>
      </w:r>
    </w:p>
  </w:endnote>
  <w:endnote w:type="continuationSeparator" w:id="0">
    <w:p w:rsidR="003B5665" w:rsidRDefault="003B5665" w:rsidP="00331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altName w:val="Gadugi"/>
    <w:panose1 w:val="020B0502040204020203"/>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325460"/>
      <w:docPartObj>
        <w:docPartGallery w:val="Page Numbers (Bottom of Page)"/>
        <w:docPartUnique/>
      </w:docPartObj>
    </w:sdtPr>
    <w:sdtEndPr>
      <w:rPr>
        <w:noProof/>
      </w:rPr>
    </w:sdtEndPr>
    <w:sdtContent>
      <w:p w:rsidR="0033189D" w:rsidRDefault="00E75F8E">
        <w:pPr>
          <w:pStyle w:val="Footer"/>
          <w:jc w:val="center"/>
        </w:pPr>
        <w:r>
          <w:fldChar w:fldCharType="begin"/>
        </w:r>
        <w:r w:rsidR="0033189D">
          <w:instrText xml:space="preserve"> PAGE   \* MERGEFORMAT </w:instrText>
        </w:r>
        <w:r>
          <w:fldChar w:fldCharType="separate"/>
        </w:r>
        <w:r w:rsidR="00D350CE">
          <w:rPr>
            <w:noProof/>
          </w:rPr>
          <w:t>3</w:t>
        </w:r>
        <w:r>
          <w:rPr>
            <w:noProof/>
          </w:rPr>
          <w:fldChar w:fldCharType="end"/>
        </w:r>
      </w:p>
    </w:sdtContent>
  </w:sdt>
  <w:p w:rsidR="0033189D" w:rsidRDefault="00331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65" w:rsidRDefault="003B5665" w:rsidP="0033189D">
      <w:pPr>
        <w:spacing w:after="0" w:line="240" w:lineRule="auto"/>
      </w:pPr>
      <w:r>
        <w:separator/>
      </w:r>
    </w:p>
  </w:footnote>
  <w:footnote w:type="continuationSeparator" w:id="0">
    <w:p w:rsidR="003B5665" w:rsidRDefault="003B5665" w:rsidP="003318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898"/>
    <w:multiLevelType w:val="multilevel"/>
    <w:tmpl w:val="4EE28E7C"/>
    <w:lvl w:ilvl="0">
      <w:start w:val="1"/>
      <w:numFmt w:val="decimal"/>
      <w:lvlText w:val="%1."/>
      <w:lvlJc w:val="left"/>
      <w:pPr>
        <w:ind w:left="360" w:hanging="360"/>
      </w:pPr>
      <w:rPr>
        <w:b/>
        <w:bCs/>
      </w:rPr>
    </w:lvl>
    <w:lvl w:ilvl="1">
      <w:start w:val="1"/>
      <w:numFmt w:val="decimal"/>
      <w:lvlText w:val="%1.%2."/>
      <w:lvlJc w:val="left"/>
      <w:pPr>
        <w:ind w:left="972" w:hanging="432"/>
      </w:pPr>
      <w:rPr>
        <w:b/>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6647D"/>
    <w:multiLevelType w:val="hybridMultilevel"/>
    <w:tmpl w:val="BE7057D0"/>
    <w:lvl w:ilvl="0" w:tplc="82300B5C">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A8E6B36"/>
    <w:multiLevelType w:val="hybridMultilevel"/>
    <w:tmpl w:val="7034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31F55"/>
    <w:multiLevelType w:val="hybridMultilevel"/>
    <w:tmpl w:val="4D0AEBD6"/>
    <w:lvl w:ilvl="0" w:tplc="47E46D7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963F0"/>
    <w:multiLevelType w:val="hybridMultilevel"/>
    <w:tmpl w:val="8BCEE556"/>
    <w:lvl w:ilvl="0" w:tplc="A3AEF9B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6550B5"/>
    <w:multiLevelType w:val="hybridMultilevel"/>
    <w:tmpl w:val="600C2FC0"/>
    <w:lvl w:ilvl="0" w:tplc="B9C8B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A81C21"/>
    <w:multiLevelType w:val="hybridMultilevel"/>
    <w:tmpl w:val="C9820D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BB2C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9B3D57"/>
    <w:multiLevelType w:val="hybridMultilevel"/>
    <w:tmpl w:val="CBF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24342F"/>
    <w:multiLevelType w:val="hybridMultilevel"/>
    <w:tmpl w:val="E2B83AA0"/>
    <w:lvl w:ilvl="0" w:tplc="47E46D7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0193A"/>
    <w:multiLevelType w:val="hybridMultilevel"/>
    <w:tmpl w:val="1CF4349C"/>
    <w:lvl w:ilvl="0" w:tplc="B9DCDB66">
      <w:start w:val="1"/>
      <w:numFmt w:val="decimal"/>
      <w:lvlText w:val="%1."/>
      <w:lvlJc w:val="left"/>
      <w:pPr>
        <w:tabs>
          <w:tab w:val="num" w:pos="720"/>
        </w:tabs>
        <w:ind w:left="720" w:hanging="360"/>
      </w:pPr>
      <w:rPr>
        <w:rFonts w:hint="default"/>
      </w:rPr>
    </w:lvl>
    <w:lvl w:ilvl="1" w:tplc="B56C9D64">
      <w:start w:val="1"/>
      <w:numFmt w:val="lowerRoman"/>
      <w:lvlText w:val="%2)"/>
      <w:lvlJc w:val="left"/>
      <w:pPr>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6B4034"/>
    <w:multiLevelType w:val="hybridMultilevel"/>
    <w:tmpl w:val="CE2CFC12"/>
    <w:lvl w:ilvl="0" w:tplc="54A488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A445B1"/>
    <w:multiLevelType w:val="multilevel"/>
    <w:tmpl w:val="9B50BEC0"/>
    <w:lvl w:ilvl="0">
      <w:start w:val="1"/>
      <w:numFmt w:val="decimal"/>
      <w:lvlText w:val="%1."/>
      <w:lvlJc w:val="left"/>
      <w:pPr>
        <w:ind w:left="360" w:hanging="360"/>
      </w:pPr>
      <w:rPr>
        <w:b/>
        <w:bCs/>
      </w:rPr>
    </w:lvl>
    <w:lvl w:ilvl="1">
      <w:start w:val="1"/>
      <w:numFmt w:val="bullet"/>
      <w:lvlText w:val=""/>
      <w:lvlJc w:val="left"/>
      <w:pPr>
        <w:ind w:left="972" w:hanging="432"/>
      </w:pPr>
      <w:rPr>
        <w:rFonts w:ascii="Symbol" w:hAnsi="Symbol" w:hint="default"/>
        <w:b w:val="0"/>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ADD6DE7"/>
    <w:multiLevelType w:val="hybridMultilevel"/>
    <w:tmpl w:val="F47604A2"/>
    <w:lvl w:ilvl="0" w:tplc="9642EF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5"/>
  </w:num>
  <w:num w:numId="4">
    <w:abstractNumId w:val="4"/>
  </w:num>
  <w:num w:numId="5">
    <w:abstractNumId w:val="12"/>
  </w:num>
  <w:num w:numId="6">
    <w:abstractNumId w:val="9"/>
  </w:num>
  <w:num w:numId="7">
    <w:abstractNumId w:val="11"/>
  </w:num>
  <w:num w:numId="8">
    <w:abstractNumId w:val="13"/>
  </w:num>
  <w:num w:numId="9">
    <w:abstractNumId w:val="10"/>
  </w:num>
  <w:num w:numId="10">
    <w:abstractNumId w:val="2"/>
  </w:num>
  <w:num w:numId="11">
    <w:abstractNumId w:val="8"/>
  </w:num>
  <w:num w:numId="12">
    <w:abstractNumId w:val="7"/>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rsids>
    <w:rsidRoot w:val="00252129"/>
    <w:rsid w:val="00011734"/>
    <w:rsid w:val="00012420"/>
    <w:rsid w:val="00031037"/>
    <w:rsid w:val="00033561"/>
    <w:rsid w:val="00035409"/>
    <w:rsid w:val="00053EFB"/>
    <w:rsid w:val="000758E2"/>
    <w:rsid w:val="00080E02"/>
    <w:rsid w:val="000845C2"/>
    <w:rsid w:val="00093650"/>
    <w:rsid w:val="000D599F"/>
    <w:rsid w:val="000E3CD7"/>
    <w:rsid w:val="000F1110"/>
    <w:rsid w:val="000F27FD"/>
    <w:rsid w:val="000F4BEB"/>
    <w:rsid w:val="001106A3"/>
    <w:rsid w:val="00126EBC"/>
    <w:rsid w:val="00130E33"/>
    <w:rsid w:val="00132A32"/>
    <w:rsid w:val="0017258D"/>
    <w:rsid w:val="001A0423"/>
    <w:rsid w:val="001A793F"/>
    <w:rsid w:val="00210723"/>
    <w:rsid w:val="0021297B"/>
    <w:rsid w:val="00220FD5"/>
    <w:rsid w:val="002211F8"/>
    <w:rsid w:val="00236F77"/>
    <w:rsid w:val="00252129"/>
    <w:rsid w:val="00253300"/>
    <w:rsid w:val="0029353A"/>
    <w:rsid w:val="002A19B0"/>
    <w:rsid w:val="002C2449"/>
    <w:rsid w:val="002D67A9"/>
    <w:rsid w:val="002E1D41"/>
    <w:rsid w:val="00311E86"/>
    <w:rsid w:val="00316C38"/>
    <w:rsid w:val="0032155B"/>
    <w:rsid w:val="0033189D"/>
    <w:rsid w:val="0036515C"/>
    <w:rsid w:val="00394279"/>
    <w:rsid w:val="0039607B"/>
    <w:rsid w:val="00396BF0"/>
    <w:rsid w:val="003A1414"/>
    <w:rsid w:val="003A76C0"/>
    <w:rsid w:val="003B5665"/>
    <w:rsid w:val="003C0C75"/>
    <w:rsid w:val="003D3702"/>
    <w:rsid w:val="0041013A"/>
    <w:rsid w:val="004349C3"/>
    <w:rsid w:val="004368E7"/>
    <w:rsid w:val="004377B8"/>
    <w:rsid w:val="0047510F"/>
    <w:rsid w:val="0047576C"/>
    <w:rsid w:val="004852A9"/>
    <w:rsid w:val="004B29B9"/>
    <w:rsid w:val="004C0A84"/>
    <w:rsid w:val="004D548A"/>
    <w:rsid w:val="004D6DEB"/>
    <w:rsid w:val="00513CC3"/>
    <w:rsid w:val="0052209F"/>
    <w:rsid w:val="005453D4"/>
    <w:rsid w:val="00547431"/>
    <w:rsid w:val="00550C27"/>
    <w:rsid w:val="00560DA9"/>
    <w:rsid w:val="00591152"/>
    <w:rsid w:val="0059229B"/>
    <w:rsid w:val="005A770C"/>
    <w:rsid w:val="005B1CA1"/>
    <w:rsid w:val="005C03E6"/>
    <w:rsid w:val="005C6795"/>
    <w:rsid w:val="005D0349"/>
    <w:rsid w:val="005D1F66"/>
    <w:rsid w:val="005F2471"/>
    <w:rsid w:val="005F5619"/>
    <w:rsid w:val="0061543B"/>
    <w:rsid w:val="00637378"/>
    <w:rsid w:val="006523E9"/>
    <w:rsid w:val="00673900"/>
    <w:rsid w:val="00674F7D"/>
    <w:rsid w:val="006B7BFE"/>
    <w:rsid w:val="006D4E7E"/>
    <w:rsid w:val="006F3F96"/>
    <w:rsid w:val="00701BC5"/>
    <w:rsid w:val="00715B15"/>
    <w:rsid w:val="007337B3"/>
    <w:rsid w:val="00746326"/>
    <w:rsid w:val="00752C41"/>
    <w:rsid w:val="007540DD"/>
    <w:rsid w:val="007A109C"/>
    <w:rsid w:val="007A1ADC"/>
    <w:rsid w:val="007A3B10"/>
    <w:rsid w:val="00806605"/>
    <w:rsid w:val="00865C65"/>
    <w:rsid w:val="00884FEC"/>
    <w:rsid w:val="00887144"/>
    <w:rsid w:val="00895CB1"/>
    <w:rsid w:val="008972D5"/>
    <w:rsid w:val="008C1667"/>
    <w:rsid w:val="0091161F"/>
    <w:rsid w:val="00913702"/>
    <w:rsid w:val="00946879"/>
    <w:rsid w:val="009527FC"/>
    <w:rsid w:val="009564C4"/>
    <w:rsid w:val="0099008B"/>
    <w:rsid w:val="00993FAE"/>
    <w:rsid w:val="00997D3D"/>
    <w:rsid w:val="009E454E"/>
    <w:rsid w:val="009F3110"/>
    <w:rsid w:val="00A07623"/>
    <w:rsid w:val="00A07638"/>
    <w:rsid w:val="00A15F15"/>
    <w:rsid w:val="00A40C8F"/>
    <w:rsid w:val="00A71AC7"/>
    <w:rsid w:val="00AB4B9E"/>
    <w:rsid w:val="00AE76D3"/>
    <w:rsid w:val="00AF407E"/>
    <w:rsid w:val="00B32D18"/>
    <w:rsid w:val="00B3639A"/>
    <w:rsid w:val="00B74A02"/>
    <w:rsid w:val="00B85C5A"/>
    <w:rsid w:val="00BB0829"/>
    <w:rsid w:val="00BB0ECD"/>
    <w:rsid w:val="00BB16B7"/>
    <w:rsid w:val="00BC48E6"/>
    <w:rsid w:val="00BC5E38"/>
    <w:rsid w:val="00C164AB"/>
    <w:rsid w:val="00C61F3D"/>
    <w:rsid w:val="00C7433E"/>
    <w:rsid w:val="00CC47C5"/>
    <w:rsid w:val="00CD77CB"/>
    <w:rsid w:val="00D16F92"/>
    <w:rsid w:val="00D217B3"/>
    <w:rsid w:val="00D32B6F"/>
    <w:rsid w:val="00D32E04"/>
    <w:rsid w:val="00D350CE"/>
    <w:rsid w:val="00D406F4"/>
    <w:rsid w:val="00D45D9F"/>
    <w:rsid w:val="00D51B28"/>
    <w:rsid w:val="00D55724"/>
    <w:rsid w:val="00D56584"/>
    <w:rsid w:val="00D66587"/>
    <w:rsid w:val="00D71C6C"/>
    <w:rsid w:val="00DA1810"/>
    <w:rsid w:val="00DA62DE"/>
    <w:rsid w:val="00DE1605"/>
    <w:rsid w:val="00DE1E67"/>
    <w:rsid w:val="00E11805"/>
    <w:rsid w:val="00E16469"/>
    <w:rsid w:val="00E36380"/>
    <w:rsid w:val="00E36D7A"/>
    <w:rsid w:val="00E37509"/>
    <w:rsid w:val="00E75F8E"/>
    <w:rsid w:val="00E83054"/>
    <w:rsid w:val="00E956D6"/>
    <w:rsid w:val="00EA5422"/>
    <w:rsid w:val="00ED6B31"/>
    <w:rsid w:val="00F15573"/>
    <w:rsid w:val="00F16AF3"/>
    <w:rsid w:val="00F20D11"/>
    <w:rsid w:val="00F80FAD"/>
    <w:rsid w:val="00FE3431"/>
    <w:rsid w:val="00FE4BB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29"/>
    <w:rPr>
      <w:rFonts w:eastAsiaTheme="minorEastAsia" w:cs="Arial Unicode MS"/>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29"/>
    <w:pPr>
      <w:ind w:left="720"/>
      <w:contextualSpacing/>
    </w:pPr>
  </w:style>
  <w:style w:type="table" w:styleId="TableGrid">
    <w:name w:val="Table Grid"/>
    <w:basedOn w:val="TableNormal"/>
    <w:uiPriority w:val="59"/>
    <w:rsid w:val="00252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29"/>
    <w:rPr>
      <w:rFonts w:ascii="Tahoma" w:eastAsiaTheme="minorEastAsia" w:hAnsi="Tahoma" w:cs="Tahoma"/>
      <w:sz w:val="16"/>
      <w:szCs w:val="16"/>
      <w:lang w:bidi="si-LK"/>
    </w:rPr>
  </w:style>
  <w:style w:type="paragraph" w:styleId="Header">
    <w:name w:val="header"/>
    <w:basedOn w:val="Normal"/>
    <w:link w:val="HeaderChar"/>
    <w:uiPriority w:val="99"/>
    <w:unhideWhenUsed/>
    <w:rsid w:val="0033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9D"/>
    <w:rPr>
      <w:rFonts w:eastAsiaTheme="minorEastAsia" w:cs="Arial Unicode MS"/>
      <w:lang w:bidi="si-LK"/>
    </w:rPr>
  </w:style>
  <w:style w:type="paragraph" w:styleId="Footer">
    <w:name w:val="footer"/>
    <w:basedOn w:val="Normal"/>
    <w:link w:val="FooterChar"/>
    <w:uiPriority w:val="99"/>
    <w:unhideWhenUsed/>
    <w:rsid w:val="0033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9D"/>
    <w:rPr>
      <w:rFonts w:eastAsiaTheme="minorEastAsia" w:cs="Arial Unicode MS"/>
      <w:lang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29"/>
    <w:rPr>
      <w:rFonts w:eastAsiaTheme="minorEastAsia" w:cs="Arial Unicode MS"/>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29"/>
    <w:pPr>
      <w:ind w:left="720"/>
      <w:contextualSpacing/>
    </w:pPr>
  </w:style>
  <w:style w:type="table" w:styleId="TableGrid">
    <w:name w:val="Table Grid"/>
    <w:basedOn w:val="TableNormal"/>
    <w:uiPriority w:val="59"/>
    <w:rsid w:val="00252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29"/>
    <w:rPr>
      <w:rFonts w:ascii="Tahoma" w:eastAsiaTheme="minorEastAsia" w:hAnsi="Tahoma" w:cs="Tahoma"/>
      <w:sz w:val="16"/>
      <w:szCs w:val="16"/>
      <w:lang w:bidi="si-LK"/>
    </w:rPr>
  </w:style>
  <w:style w:type="paragraph" w:styleId="Header">
    <w:name w:val="header"/>
    <w:basedOn w:val="Normal"/>
    <w:link w:val="HeaderChar"/>
    <w:uiPriority w:val="99"/>
    <w:unhideWhenUsed/>
    <w:rsid w:val="0033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9D"/>
    <w:rPr>
      <w:rFonts w:eastAsiaTheme="minorEastAsia" w:cs="Arial Unicode MS"/>
      <w:lang w:bidi="si-LK"/>
    </w:rPr>
  </w:style>
  <w:style w:type="paragraph" w:styleId="Footer">
    <w:name w:val="footer"/>
    <w:basedOn w:val="Normal"/>
    <w:link w:val="FooterChar"/>
    <w:uiPriority w:val="99"/>
    <w:unhideWhenUsed/>
    <w:rsid w:val="0033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9D"/>
    <w:rPr>
      <w:rFonts w:eastAsiaTheme="minorEastAsia" w:cs="Arial Unicode MS"/>
      <w:lang w:bidi="si-L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5755-A2A5-41D2-8528-52211AC3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PWDNR</dc:creator>
  <cp:lastModifiedBy>Kiruthigah S</cp:lastModifiedBy>
  <cp:revision>2</cp:revision>
  <cp:lastPrinted>2016-11-11T06:03:00Z</cp:lastPrinted>
  <dcterms:created xsi:type="dcterms:W3CDTF">2016-12-09T03:47:00Z</dcterms:created>
  <dcterms:modified xsi:type="dcterms:W3CDTF">2016-12-09T03:47:00Z</dcterms:modified>
</cp:coreProperties>
</file>