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BBF" w:rsidRPr="00585BBF" w:rsidDel="00585BBF" w:rsidRDefault="00585BBF" w:rsidP="00B93EF5">
      <w:pPr>
        <w:spacing w:before="100" w:beforeAutospacing="1" w:after="100" w:afterAutospacing="1" w:line="360" w:lineRule="auto"/>
        <w:ind w:left="720"/>
        <w:contextualSpacing/>
        <w:jc w:val="center"/>
        <w:rPr>
          <w:rFonts w:ascii="Ebrima" w:eastAsia="Times New Roman" w:hAnsi="Ebrima" w:cs="Times New Roman"/>
          <w:b/>
          <w:bCs/>
          <w:sz w:val="24"/>
          <w:szCs w:val="24"/>
          <w:lang w:bidi="ta-IN"/>
        </w:rPr>
      </w:pPr>
      <w:bookmarkStart w:id="0" w:name="_GoBack"/>
      <w:r>
        <w:rPr>
          <w:rFonts w:ascii="Ebrima" w:eastAsia="Times New Roman" w:hAnsi="Ebrima" w:cs="Times New Roman"/>
          <w:b/>
          <w:bCs/>
          <w:sz w:val="24"/>
          <w:szCs w:val="24"/>
          <w:lang w:bidi="ta-IN"/>
        </w:rPr>
        <w:t xml:space="preserve">Liquidity </w:t>
      </w:r>
      <w:r w:rsidR="00CD77CB" w:rsidRPr="00B93EF5">
        <w:rPr>
          <w:rFonts w:ascii="Ebrima" w:eastAsia="Times New Roman" w:hAnsi="Ebrima" w:cs="Times New Roman"/>
          <w:b/>
          <w:bCs/>
          <w:sz w:val="24"/>
          <w:szCs w:val="24"/>
          <w:lang w:bidi="ta-IN"/>
        </w:rPr>
        <w:t>Forecasting</w:t>
      </w:r>
      <w:r w:rsidR="006B60D0">
        <w:rPr>
          <w:rFonts w:ascii="Ebrima" w:eastAsia="Times New Roman" w:hAnsi="Ebrima" w:cs="Times New Roman"/>
          <w:b/>
          <w:bCs/>
          <w:sz w:val="24"/>
          <w:szCs w:val="24"/>
          <w:lang w:bidi="ta-IN"/>
        </w:rPr>
        <w:t xml:space="preserve"> in the Inter Bank Market </w:t>
      </w:r>
    </w:p>
    <w:bookmarkEnd w:id="0"/>
    <w:p w:rsidR="005F5619" w:rsidRPr="00FC794D" w:rsidRDefault="00585BBF" w:rsidP="005F5619">
      <w:pPr>
        <w:spacing w:before="100" w:beforeAutospacing="1" w:after="100" w:afterAutospacing="1" w:line="360" w:lineRule="auto"/>
        <w:contextualSpacing/>
        <w:jc w:val="both"/>
        <w:rPr>
          <w:rFonts w:ascii="Ebrima" w:eastAsia="Times New Roman" w:hAnsi="Ebrima" w:cs="Times New Roman"/>
          <w:sz w:val="24"/>
          <w:szCs w:val="24"/>
          <w:lang w:bidi="ta-IN"/>
        </w:rPr>
      </w:pPr>
      <w:r>
        <w:rPr>
          <w:rFonts w:ascii="Ebrima" w:eastAsia="Times New Roman" w:hAnsi="Ebrima" w:cs="Times New Roman"/>
          <w:sz w:val="24"/>
          <w:szCs w:val="24"/>
          <w:lang w:bidi="ta-IN"/>
        </w:rPr>
        <w:t>The exercise is daily undertaken as the first step in determining the type of OMOs to be conducted in a given day.</w:t>
      </w:r>
    </w:p>
    <w:p w:rsidR="0021297B" w:rsidRPr="00FC794D" w:rsidRDefault="0021297B" w:rsidP="00FC794D">
      <w:pPr>
        <w:pStyle w:val="ListParagraph"/>
        <w:numPr>
          <w:ilvl w:val="1"/>
          <w:numId w:val="12"/>
        </w:numPr>
        <w:spacing w:before="100" w:beforeAutospacing="1" w:after="100" w:afterAutospacing="1" w:line="360" w:lineRule="auto"/>
        <w:jc w:val="both"/>
        <w:rPr>
          <w:rFonts w:ascii="Ebrima" w:eastAsia="Times New Roman" w:hAnsi="Ebrima" w:cs="Times New Roman"/>
          <w:bCs/>
          <w:sz w:val="24"/>
          <w:szCs w:val="24"/>
          <w:lang w:bidi="ar-SA"/>
        </w:rPr>
      </w:pPr>
      <w:r w:rsidRPr="00FC794D">
        <w:rPr>
          <w:rFonts w:ascii="Ebrima" w:eastAsia="Times New Roman" w:hAnsi="Ebrima" w:cs="Times New Roman"/>
          <w:b/>
          <w:bCs/>
          <w:sz w:val="24"/>
          <w:szCs w:val="24"/>
          <w:lang w:bidi="ta-IN"/>
        </w:rPr>
        <w:t xml:space="preserve">  </w:t>
      </w:r>
      <w:r w:rsidR="00F16AF3" w:rsidRPr="00FC794D">
        <w:rPr>
          <w:rFonts w:ascii="Ebrima" w:eastAsia="Times New Roman" w:hAnsi="Ebrima" w:cs="Times New Roman"/>
          <w:b/>
          <w:bCs/>
          <w:sz w:val="24"/>
          <w:szCs w:val="24"/>
          <w:lang w:bidi="ta-IN"/>
        </w:rPr>
        <w:t>The forecast of overnight</w:t>
      </w:r>
      <w:r w:rsidR="00E11805" w:rsidRPr="00FC794D">
        <w:rPr>
          <w:rFonts w:ascii="Ebrima" w:eastAsia="Times New Roman" w:hAnsi="Ebrima" w:cs="Times New Roman"/>
          <w:b/>
          <w:bCs/>
          <w:sz w:val="24"/>
          <w:szCs w:val="24"/>
          <w:lang w:bidi="ta-IN"/>
        </w:rPr>
        <w:t xml:space="preserve"> excess/deficit liquidity </w:t>
      </w:r>
      <w:r w:rsidR="00F16AF3" w:rsidRPr="00FC794D">
        <w:rPr>
          <w:rFonts w:ascii="Ebrima" w:eastAsia="Times New Roman" w:hAnsi="Ebrima" w:cs="Times New Roman"/>
          <w:b/>
          <w:bCs/>
          <w:sz w:val="24"/>
          <w:szCs w:val="24"/>
          <w:lang w:bidi="ta-IN"/>
        </w:rPr>
        <w:t xml:space="preserve"> interbank market</w:t>
      </w:r>
    </w:p>
    <w:p w:rsidR="003D3702" w:rsidRPr="00FC794D" w:rsidRDefault="00F16AF3" w:rsidP="00FC794D">
      <w:pPr>
        <w:spacing w:before="100" w:beforeAutospacing="1" w:after="0" w:afterAutospacing="1" w:line="360" w:lineRule="auto"/>
        <w:contextualSpacing/>
        <w:jc w:val="both"/>
        <w:rPr>
          <w:rFonts w:ascii="Ebrima" w:eastAsia="Times New Roman" w:hAnsi="Ebrima" w:cs="Times New Roman"/>
          <w:bCs/>
          <w:sz w:val="24"/>
          <w:szCs w:val="24"/>
          <w:lang w:bidi="ar-SA"/>
        </w:rPr>
      </w:pPr>
      <w:r w:rsidRPr="00FC794D">
        <w:rPr>
          <w:rFonts w:ascii="Ebrima" w:eastAsia="Times New Roman" w:hAnsi="Ebrima" w:cs="Times New Roman"/>
          <w:b/>
          <w:bCs/>
          <w:sz w:val="24"/>
          <w:szCs w:val="24"/>
          <w:lang w:bidi="ta-IN"/>
        </w:rPr>
        <w:t xml:space="preserve"> </w:t>
      </w:r>
      <w:r w:rsidR="008972D5" w:rsidRPr="00FC794D">
        <w:rPr>
          <w:rFonts w:ascii="Ebrima" w:eastAsia="Times New Roman" w:hAnsi="Ebrima" w:cs="Times New Roman"/>
          <w:bCs/>
          <w:sz w:val="24"/>
          <w:szCs w:val="24"/>
          <w:lang w:bidi="ar-SA"/>
        </w:rPr>
        <w:t>Overnight liquidity in t</w:t>
      </w:r>
      <w:r w:rsidR="003D3702" w:rsidRPr="00FC794D">
        <w:rPr>
          <w:rFonts w:ascii="Ebrima" w:eastAsia="Times New Roman" w:hAnsi="Ebrima" w:cs="Times New Roman"/>
          <w:bCs/>
          <w:sz w:val="24"/>
          <w:szCs w:val="24"/>
          <w:lang w:bidi="ar-SA"/>
        </w:rPr>
        <w:t xml:space="preserve">he banking system depends on the actual balances maintained by banks’ in their reserve accounts with the Central Bank </w:t>
      </w:r>
      <w:proofErr w:type="spellStart"/>
      <w:r w:rsidR="003D3702" w:rsidRPr="00FC794D">
        <w:rPr>
          <w:rFonts w:ascii="Ebrima" w:eastAsia="Times New Roman" w:hAnsi="Ebrima" w:cs="Times New Roman"/>
          <w:bCs/>
          <w:sz w:val="24"/>
          <w:szCs w:val="24"/>
          <w:lang w:bidi="ar-SA"/>
        </w:rPr>
        <w:t>vis</w:t>
      </w:r>
      <w:proofErr w:type="spellEnd"/>
      <w:r w:rsidR="003D3702" w:rsidRPr="00FC794D">
        <w:rPr>
          <w:rFonts w:ascii="Ebrima" w:eastAsia="Times New Roman" w:hAnsi="Ebrima" w:cs="Times New Roman"/>
          <w:bCs/>
          <w:sz w:val="24"/>
          <w:szCs w:val="24"/>
          <w:lang w:bidi="ar-SA"/>
        </w:rPr>
        <w:t>-a-</w:t>
      </w:r>
      <w:proofErr w:type="spellStart"/>
      <w:r w:rsidR="003D3702" w:rsidRPr="00FC794D">
        <w:rPr>
          <w:rFonts w:ascii="Ebrima" w:eastAsia="Times New Roman" w:hAnsi="Ebrima" w:cs="Times New Roman"/>
          <w:bCs/>
          <w:sz w:val="24"/>
          <w:szCs w:val="24"/>
          <w:lang w:bidi="ar-SA"/>
        </w:rPr>
        <w:t>vis</w:t>
      </w:r>
      <w:proofErr w:type="spellEnd"/>
      <w:r w:rsidR="003D3702" w:rsidRPr="00FC794D">
        <w:rPr>
          <w:rFonts w:ascii="Ebrima" w:eastAsia="Times New Roman" w:hAnsi="Ebrima" w:cs="Times New Roman"/>
          <w:bCs/>
          <w:sz w:val="24"/>
          <w:szCs w:val="24"/>
          <w:lang w:bidi="ar-SA"/>
        </w:rPr>
        <w:t>, the reserves to be maintained under the SRR.</w:t>
      </w:r>
      <w:r w:rsidR="0021297B" w:rsidRPr="00FC794D">
        <w:rPr>
          <w:rFonts w:ascii="Ebrima" w:eastAsia="Times New Roman" w:hAnsi="Ebrima" w:cs="Times New Roman"/>
          <w:bCs/>
          <w:sz w:val="24"/>
          <w:szCs w:val="24"/>
          <w:lang w:bidi="ar-SA"/>
        </w:rPr>
        <w:t xml:space="preserve"> </w:t>
      </w:r>
      <w:r w:rsidR="003D3702" w:rsidRPr="00FC794D">
        <w:rPr>
          <w:rFonts w:ascii="Ebrima" w:eastAsia="Times New Roman" w:hAnsi="Ebrima" w:cs="Times New Roman"/>
          <w:bCs/>
          <w:sz w:val="24"/>
          <w:szCs w:val="24"/>
          <w:lang w:bidi="ar-SA"/>
        </w:rPr>
        <w:t>The banking system is considered in excess (excess liquidity) on a given day if its cumulative aggregate deposit balances with   the Central Bank is higher than the balance that it would need to maintain in the reserve account under SRR. The Banking system is considered short (short liquidity) on a given day if its cumulative aggregate deposit balances with the Central Bank is lower than the balance that it would need to maintain on account of SRR.</w:t>
      </w:r>
    </w:p>
    <w:p w:rsidR="003D3702" w:rsidRPr="00FC794D" w:rsidRDefault="003D3702" w:rsidP="00D45D9F">
      <w:pPr>
        <w:spacing w:after="0" w:line="360" w:lineRule="auto"/>
        <w:jc w:val="both"/>
        <w:rPr>
          <w:rFonts w:ascii="Ebrima" w:eastAsia="Times New Roman" w:hAnsi="Ebrima" w:cs="Times New Roman"/>
          <w:bCs/>
          <w:sz w:val="24"/>
          <w:szCs w:val="24"/>
          <w:lang w:bidi="ar-SA"/>
        </w:rPr>
      </w:pPr>
    </w:p>
    <w:p w:rsidR="00D45D9F" w:rsidRPr="00FC794D" w:rsidRDefault="0017258D" w:rsidP="00D45D9F">
      <w:pPr>
        <w:tabs>
          <w:tab w:val="left" w:pos="900"/>
        </w:tabs>
        <w:spacing w:before="100" w:beforeAutospacing="1" w:after="100" w:afterAutospacing="1" w:line="360" w:lineRule="auto"/>
        <w:jc w:val="both"/>
        <w:rPr>
          <w:rFonts w:ascii="Ebrima" w:eastAsia="Times New Roman" w:hAnsi="Ebrima" w:cs="Times New Roman"/>
          <w:sz w:val="24"/>
          <w:szCs w:val="24"/>
          <w:lang w:bidi="ta-IN"/>
        </w:rPr>
      </w:pPr>
      <w:r w:rsidRPr="00FC794D">
        <w:rPr>
          <w:rFonts w:ascii="Ebrima" w:eastAsia="Times New Roman" w:hAnsi="Ebrima" w:cs="Times New Roman"/>
          <w:sz w:val="24"/>
          <w:szCs w:val="24"/>
          <w:lang w:bidi="ta-IN"/>
        </w:rPr>
        <w:t>Overnight</w:t>
      </w:r>
      <w:r w:rsidR="00D45D9F" w:rsidRPr="00FC794D">
        <w:rPr>
          <w:rFonts w:ascii="Ebrima" w:eastAsia="Times New Roman" w:hAnsi="Ebrima" w:cs="Times New Roman"/>
          <w:sz w:val="24"/>
          <w:szCs w:val="24"/>
          <w:lang w:bidi="ta-IN"/>
        </w:rPr>
        <w:t xml:space="preserve"> market liquidity </w:t>
      </w:r>
      <w:r w:rsidRPr="00FC794D">
        <w:rPr>
          <w:rFonts w:ascii="Ebrima" w:eastAsia="Times New Roman" w:hAnsi="Ebrima" w:cs="Times New Roman"/>
          <w:sz w:val="24"/>
          <w:szCs w:val="24"/>
          <w:lang w:bidi="ta-IN"/>
        </w:rPr>
        <w:t xml:space="preserve">forecast </w:t>
      </w:r>
      <w:r w:rsidR="00D45D9F" w:rsidRPr="00FC794D">
        <w:rPr>
          <w:rFonts w:ascii="Ebrima" w:eastAsia="Times New Roman" w:hAnsi="Ebrima" w:cs="Times New Roman"/>
          <w:sz w:val="24"/>
          <w:szCs w:val="24"/>
          <w:lang w:bidi="ta-IN"/>
        </w:rPr>
        <w:t xml:space="preserve">is </w:t>
      </w:r>
      <w:r w:rsidRPr="00FC794D">
        <w:rPr>
          <w:rFonts w:ascii="Ebrima" w:eastAsia="Times New Roman" w:hAnsi="Ebrima" w:cs="Times New Roman"/>
          <w:sz w:val="24"/>
          <w:szCs w:val="24"/>
          <w:lang w:bidi="ta-IN"/>
        </w:rPr>
        <w:t>prepared</w:t>
      </w:r>
      <w:r w:rsidR="00D45D9F" w:rsidRPr="00FC794D">
        <w:rPr>
          <w:rFonts w:ascii="Ebrima" w:eastAsia="Times New Roman" w:hAnsi="Ebrima" w:cs="Times New Roman"/>
          <w:sz w:val="24"/>
          <w:szCs w:val="24"/>
          <w:lang w:bidi="ta-IN"/>
        </w:rPr>
        <w:t xml:space="preserve"> based on </w:t>
      </w:r>
      <w:r w:rsidR="00F16AF3" w:rsidRPr="00FC794D">
        <w:rPr>
          <w:rFonts w:ascii="Ebrima" w:eastAsia="Times New Roman" w:hAnsi="Ebrima" w:cs="Times New Roman"/>
          <w:sz w:val="24"/>
          <w:szCs w:val="24"/>
          <w:lang w:bidi="ta-IN"/>
        </w:rPr>
        <w:t xml:space="preserve">changes in  </w:t>
      </w:r>
      <w:r w:rsidRPr="00FC794D">
        <w:rPr>
          <w:rFonts w:ascii="Ebrima" w:eastAsia="Times New Roman" w:hAnsi="Ebrima" w:cs="Times New Roman"/>
          <w:sz w:val="24"/>
          <w:szCs w:val="24"/>
          <w:lang w:bidi="ta-IN"/>
        </w:rPr>
        <w:t xml:space="preserve">factors </w:t>
      </w:r>
      <w:r w:rsidR="00F16AF3" w:rsidRPr="00FC794D">
        <w:rPr>
          <w:rFonts w:ascii="Ebrima" w:eastAsia="Times New Roman" w:hAnsi="Ebrima" w:cs="Times New Roman"/>
          <w:sz w:val="24"/>
          <w:szCs w:val="24"/>
          <w:lang w:bidi="ta-IN"/>
        </w:rPr>
        <w:t xml:space="preserve">that affect the </w:t>
      </w:r>
      <w:proofErr w:type="spellStart"/>
      <w:r w:rsidR="00F16AF3" w:rsidRPr="00FC794D">
        <w:rPr>
          <w:rFonts w:ascii="Ebrima" w:eastAsia="Times New Roman" w:hAnsi="Ebrima" w:cs="Times New Roman"/>
          <w:sz w:val="24"/>
          <w:szCs w:val="24"/>
          <w:lang w:bidi="ta-IN"/>
        </w:rPr>
        <w:t>inter bank</w:t>
      </w:r>
      <w:proofErr w:type="spellEnd"/>
      <w:r w:rsidR="00F16AF3" w:rsidRPr="00FC794D">
        <w:rPr>
          <w:rFonts w:ascii="Ebrima" w:eastAsia="Times New Roman" w:hAnsi="Ebrima" w:cs="Times New Roman"/>
          <w:sz w:val="24"/>
          <w:szCs w:val="24"/>
          <w:lang w:bidi="ta-IN"/>
        </w:rPr>
        <w:t xml:space="preserve"> market liquidity. </w:t>
      </w:r>
    </w:p>
    <w:p w:rsidR="00D45D9F" w:rsidRPr="00FC794D" w:rsidRDefault="00D45D9F" w:rsidP="00D45D9F">
      <w:pPr>
        <w:spacing w:after="0" w:line="360" w:lineRule="auto"/>
        <w:jc w:val="both"/>
        <w:rPr>
          <w:rFonts w:ascii="Ebrima" w:eastAsia="Times New Roman" w:hAnsi="Ebrima" w:cs="Times New Roman"/>
          <w:szCs w:val="24"/>
          <w:lang w:bidi="ar-SA"/>
        </w:rPr>
      </w:pPr>
      <w:r w:rsidRPr="00FC794D">
        <w:rPr>
          <w:rFonts w:ascii="Ebrima" w:eastAsia="Times New Roman" w:hAnsi="Ebrima" w:cs="Times New Roman"/>
          <w:szCs w:val="24"/>
          <w:lang w:bidi="ar-SA"/>
        </w:rPr>
        <w:t xml:space="preserve">As each LCB maintains a settlement account with the Central Bank, every morning the CBSL </w:t>
      </w:r>
      <w:r w:rsidR="0017258D" w:rsidRPr="00FC794D">
        <w:rPr>
          <w:rFonts w:ascii="Ebrima" w:eastAsia="Times New Roman" w:hAnsi="Ebrima" w:cs="Times New Roman"/>
          <w:szCs w:val="24"/>
          <w:lang w:bidi="ar-SA"/>
        </w:rPr>
        <w:t>possess</w:t>
      </w:r>
      <w:r w:rsidRPr="00FC794D">
        <w:rPr>
          <w:rFonts w:ascii="Ebrima" w:eastAsia="Times New Roman" w:hAnsi="Ebrima" w:cs="Times New Roman"/>
          <w:szCs w:val="24"/>
          <w:lang w:bidi="ar-SA"/>
        </w:rPr>
        <w:t xml:space="preserve"> the aggregate opening balance of all LCBs with the CBSL. This forms the first step in the liquidity assessment.  </w:t>
      </w:r>
      <w:r w:rsidR="00F80FAD" w:rsidRPr="00FC794D">
        <w:rPr>
          <w:rFonts w:ascii="Ebrima" w:eastAsia="Times New Roman" w:hAnsi="Ebrima" w:cs="Times New Roman"/>
          <w:szCs w:val="24"/>
          <w:lang w:bidi="ar-SA"/>
        </w:rPr>
        <w:t>T</w:t>
      </w:r>
      <w:r w:rsidR="00F16AF3" w:rsidRPr="00FC794D">
        <w:rPr>
          <w:rFonts w:ascii="Ebrima" w:eastAsia="Times New Roman" w:hAnsi="Ebrima" w:cs="Times New Roman"/>
          <w:szCs w:val="24"/>
          <w:lang w:bidi="ar-SA"/>
        </w:rPr>
        <w:t>he net effect of the following  factors are then added to this aggregate opening balance</w:t>
      </w:r>
    </w:p>
    <w:p w:rsidR="00D45D9F" w:rsidRPr="00FC794D" w:rsidRDefault="00D45D9F" w:rsidP="00D45D9F">
      <w:pPr>
        <w:spacing w:after="0" w:line="240" w:lineRule="auto"/>
        <w:ind w:left="360"/>
        <w:jc w:val="both"/>
        <w:rPr>
          <w:rFonts w:ascii="Ebrima" w:eastAsia="Times New Roman" w:hAnsi="Ebrima" w:cs="Times New Roman"/>
          <w:szCs w:val="24"/>
          <w:lang w:bidi="ar-SA"/>
        </w:rPr>
      </w:pPr>
    </w:p>
    <w:p w:rsidR="00D45D9F" w:rsidRPr="00FC794D" w:rsidRDefault="00D45D9F" w:rsidP="00D45D9F">
      <w:pPr>
        <w:spacing w:after="0" w:line="360" w:lineRule="auto"/>
        <w:jc w:val="both"/>
        <w:rPr>
          <w:rFonts w:ascii="Ebrima" w:eastAsia="Times New Roman" w:hAnsi="Ebrima" w:cs="Times New Roman"/>
          <w:b/>
          <w:bCs/>
          <w:szCs w:val="24"/>
          <w:lang w:bidi="ar-SA"/>
        </w:rPr>
      </w:pPr>
      <w:r w:rsidRPr="00FC794D">
        <w:rPr>
          <w:rFonts w:ascii="Ebrima" w:eastAsia="Times New Roman" w:hAnsi="Ebrima" w:cs="Times New Roman"/>
          <w:b/>
          <w:bCs/>
          <w:szCs w:val="24"/>
          <w:lang w:bidi="ar-SA"/>
        </w:rPr>
        <w:t xml:space="preserve">Liquidity </w:t>
      </w:r>
      <w:r w:rsidR="005C6795" w:rsidRPr="00FC794D">
        <w:rPr>
          <w:rFonts w:ascii="Ebrima" w:eastAsia="Times New Roman" w:hAnsi="Ebrima" w:cs="Times New Roman"/>
          <w:b/>
          <w:bCs/>
          <w:szCs w:val="24"/>
          <w:lang w:bidi="ar-SA"/>
        </w:rPr>
        <w:t>e</w:t>
      </w:r>
      <w:r w:rsidRPr="00FC794D">
        <w:rPr>
          <w:rFonts w:ascii="Ebrima" w:eastAsia="Times New Roman" w:hAnsi="Ebrima" w:cs="Times New Roman"/>
          <w:b/>
          <w:bCs/>
          <w:szCs w:val="24"/>
          <w:lang w:bidi="ar-SA"/>
        </w:rPr>
        <w:t xml:space="preserve">nhancing </w:t>
      </w:r>
      <w:r w:rsidR="005C6795" w:rsidRPr="00FC794D">
        <w:rPr>
          <w:rFonts w:ascii="Ebrima" w:eastAsia="Times New Roman" w:hAnsi="Ebrima" w:cs="Times New Roman"/>
          <w:b/>
          <w:bCs/>
          <w:szCs w:val="24"/>
          <w:lang w:bidi="ar-SA"/>
        </w:rPr>
        <w:t>f</w:t>
      </w:r>
      <w:r w:rsidRPr="00FC794D">
        <w:rPr>
          <w:rFonts w:ascii="Ebrima" w:eastAsia="Times New Roman" w:hAnsi="Ebrima" w:cs="Times New Roman"/>
          <w:b/>
          <w:bCs/>
          <w:szCs w:val="24"/>
          <w:lang w:bidi="ar-SA"/>
        </w:rPr>
        <w:t>actors</w:t>
      </w:r>
    </w:p>
    <w:p w:rsidR="00D45D9F" w:rsidRPr="00FC794D" w:rsidRDefault="00F16AF3" w:rsidP="00D45D9F">
      <w:pPr>
        <w:numPr>
          <w:ilvl w:val="2"/>
          <w:numId w:val="9"/>
        </w:numPr>
        <w:tabs>
          <w:tab w:val="left" w:pos="1080"/>
        </w:tabs>
        <w:spacing w:after="0" w:line="360" w:lineRule="auto"/>
        <w:ind w:left="1080" w:hanging="360"/>
        <w:jc w:val="both"/>
        <w:rPr>
          <w:rFonts w:ascii="Ebrima" w:eastAsia="Times New Roman" w:hAnsi="Ebrima" w:cs="Times New Roman"/>
          <w:szCs w:val="24"/>
          <w:lang w:bidi="ar-SA"/>
        </w:rPr>
      </w:pPr>
      <w:r w:rsidRPr="00FC794D">
        <w:rPr>
          <w:rFonts w:ascii="Ebrima" w:eastAsia="Times New Roman" w:hAnsi="Ebrima" w:cs="Times New Roman"/>
          <w:szCs w:val="24"/>
          <w:lang w:bidi="ar-SA"/>
        </w:rPr>
        <w:t xml:space="preserve">Purchase </w:t>
      </w:r>
      <w:r w:rsidR="00D45D9F" w:rsidRPr="00FC794D">
        <w:rPr>
          <w:rFonts w:ascii="Ebrima" w:eastAsia="Times New Roman" w:hAnsi="Ebrima" w:cs="Times New Roman"/>
          <w:szCs w:val="24"/>
          <w:lang w:bidi="ar-SA"/>
        </w:rPr>
        <w:t>of Treasury bills</w:t>
      </w:r>
      <w:r w:rsidRPr="00FC794D">
        <w:rPr>
          <w:rFonts w:ascii="Ebrima" w:eastAsia="Times New Roman" w:hAnsi="Ebrima" w:cs="Times New Roman"/>
          <w:szCs w:val="24"/>
          <w:lang w:bidi="ar-SA"/>
        </w:rPr>
        <w:t xml:space="preserve"> from the </w:t>
      </w:r>
      <w:r w:rsidR="00D45D9F" w:rsidRPr="00FC794D">
        <w:rPr>
          <w:rFonts w:ascii="Ebrima" w:eastAsia="Times New Roman" w:hAnsi="Ebrima" w:cs="Times New Roman"/>
          <w:szCs w:val="24"/>
          <w:lang w:bidi="ar-SA"/>
        </w:rPr>
        <w:t>(Primary</w:t>
      </w:r>
      <w:r w:rsidRPr="00FC794D">
        <w:rPr>
          <w:rFonts w:ascii="Ebrima" w:eastAsia="Times New Roman" w:hAnsi="Ebrima" w:cs="Times New Roman"/>
          <w:szCs w:val="24"/>
          <w:lang w:bidi="ar-SA"/>
        </w:rPr>
        <w:t xml:space="preserve"> market and government securities from </w:t>
      </w:r>
      <w:r w:rsidR="00D45D9F" w:rsidRPr="00FC794D">
        <w:rPr>
          <w:rFonts w:ascii="Ebrima" w:eastAsia="Times New Roman" w:hAnsi="Ebrima" w:cs="Times New Roman"/>
          <w:szCs w:val="24"/>
          <w:lang w:bidi="ar-SA"/>
        </w:rPr>
        <w:t xml:space="preserve"> secondary market</w:t>
      </w:r>
      <w:r w:rsidRPr="00FC794D">
        <w:rPr>
          <w:rFonts w:ascii="Ebrima" w:eastAsia="Times New Roman" w:hAnsi="Ebrima" w:cs="Times New Roman"/>
          <w:szCs w:val="24"/>
          <w:lang w:bidi="ar-SA"/>
        </w:rPr>
        <w:t xml:space="preserve"> by the CBSL</w:t>
      </w:r>
    </w:p>
    <w:p w:rsidR="005453D4" w:rsidRPr="00FC794D" w:rsidRDefault="00F16AF3" w:rsidP="005453D4">
      <w:pPr>
        <w:numPr>
          <w:ilvl w:val="2"/>
          <w:numId w:val="9"/>
        </w:numPr>
        <w:tabs>
          <w:tab w:val="left" w:pos="1080"/>
        </w:tabs>
        <w:spacing w:after="0" w:line="360" w:lineRule="auto"/>
        <w:ind w:left="1080" w:hanging="360"/>
        <w:jc w:val="both"/>
        <w:rPr>
          <w:rFonts w:ascii="Ebrima" w:eastAsia="Times New Roman" w:hAnsi="Ebrima" w:cs="Times New Roman"/>
          <w:szCs w:val="24"/>
          <w:lang w:bidi="ar-SA"/>
        </w:rPr>
      </w:pPr>
      <w:r w:rsidRPr="00FC794D">
        <w:rPr>
          <w:rFonts w:ascii="Ebrima" w:eastAsia="Times New Roman" w:hAnsi="Ebrima" w:cs="Times New Roman"/>
          <w:szCs w:val="24"/>
          <w:lang w:bidi="ar-SA"/>
        </w:rPr>
        <w:t>P</w:t>
      </w:r>
      <w:r w:rsidR="00D45D9F" w:rsidRPr="00FC794D">
        <w:rPr>
          <w:rFonts w:ascii="Ebrima" w:eastAsia="Times New Roman" w:hAnsi="Ebrima" w:cs="Times New Roman"/>
          <w:szCs w:val="24"/>
          <w:lang w:bidi="ar-SA"/>
        </w:rPr>
        <w:t xml:space="preserve">urchase of foreign exchange </w:t>
      </w:r>
      <w:r w:rsidRPr="00FC794D">
        <w:rPr>
          <w:rFonts w:ascii="Ebrima" w:eastAsia="Times New Roman" w:hAnsi="Ebrima" w:cs="Times New Roman"/>
          <w:szCs w:val="24"/>
          <w:lang w:bidi="ar-SA"/>
        </w:rPr>
        <w:t xml:space="preserve">from  </w:t>
      </w:r>
      <w:r w:rsidR="00D45D9F" w:rsidRPr="00FC794D">
        <w:rPr>
          <w:rFonts w:ascii="Ebrima" w:eastAsia="Times New Roman" w:hAnsi="Ebrima" w:cs="Times New Roman"/>
          <w:szCs w:val="24"/>
          <w:lang w:bidi="ar-SA"/>
        </w:rPr>
        <w:t>the market</w:t>
      </w:r>
      <w:r w:rsidRPr="00FC794D">
        <w:rPr>
          <w:rFonts w:ascii="Ebrima" w:eastAsia="Times New Roman" w:hAnsi="Ebrima" w:cs="Times New Roman"/>
          <w:szCs w:val="24"/>
          <w:lang w:bidi="ar-SA"/>
        </w:rPr>
        <w:t xml:space="preserve"> by the CBSL</w:t>
      </w:r>
      <w:r w:rsidR="00D45D9F" w:rsidRPr="00FC794D">
        <w:rPr>
          <w:rFonts w:ascii="Ebrima" w:eastAsia="Times New Roman" w:hAnsi="Ebrima" w:cs="Times New Roman"/>
          <w:szCs w:val="24"/>
          <w:lang w:bidi="ar-SA"/>
        </w:rPr>
        <w:t>.</w:t>
      </w:r>
    </w:p>
    <w:p w:rsidR="00D45D9F" w:rsidRPr="00FC794D" w:rsidRDefault="00F16AF3" w:rsidP="005453D4">
      <w:pPr>
        <w:numPr>
          <w:ilvl w:val="2"/>
          <w:numId w:val="9"/>
        </w:numPr>
        <w:tabs>
          <w:tab w:val="left" w:pos="1080"/>
        </w:tabs>
        <w:spacing w:after="0" w:line="360" w:lineRule="auto"/>
        <w:ind w:left="1080" w:hanging="360"/>
        <w:jc w:val="both"/>
        <w:rPr>
          <w:rFonts w:ascii="Ebrima" w:eastAsia="Times New Roman" w:hAnsi="Ebrima" w:cs="Times New Roman"/>
          <w:szCs w:val="24"/>
          <w:lang w:bidi="ar-SA"/>
        </w:rPr>
      </w:pPr>
      <w:r w:rsidRPr="00FC794D">
        <w:rPr>
          <w:rFonts w:ascii="Ebrima" w:eastAsia="Times New Roman" w:hAnsi="Ebrima" w:cs="Times New Roman"/>
          <w:szCs w:val="24"/>
          <w:lang w:bidi="ar-SA"/>
        </w:rPr>
        <w:t>P</w:t>
      </w:r>
      <w:r w:rsidR="005453D4" w:rsidRPr="00FC794D">
        <w:rPr>
          <w:rFonts w:ascii="Ebrima" w:eastAsia="Times New Roman" w:hAnsi="Ebrima" w:cs="Times New Roman"/>
          <w:szCs w:val="24"/>
          <w:lang w:bidi="ar-SA"/>
        </w:rPr>
        <w:t>urchase of f</w:t>
      </w:r>
      <w:r w:rsidR="00D45D9F" w:rsidRPr="00FC794D">
        <w:rPr>
          <w:rFonts w:ascii="Ebrima" w:eastAsia="Times New Roman" w:hAnsi="Ebrima" w:cs="Times New Roman"/>
          <w:szCs w:val="24"/>
          <w:lang w:bidi="ar-SA"/>
        </w:rPr>
        <w:t>oreign</w:t>
      </w:r>
      <w:r w:rsidR="00093650" w:rsidRPr="00FC794D">
        <w:rPr>
          <w:rFonts w:ascii="Ebrima" w:eastAsia="Times New Roman" w:hAnsi="Ebrima" w:cs="Times New Roman"/>
          <w:szCs w:val="24"/>
          <w:lang w:bidi="ar-SA"/>
        </w:rPr>
        <w:t xml:space="preserve"> currency </w:t>
      </w:r>
      <w:r w:rsidR="00D45D9F" w:rsidRPr="00FC794D">
        <w:rPr>
          <w:rFonts w:ascii="Ebrima" w:eastAsia="Times New Roman" w:hAnsi="Ebrima" w:cs="Times New Roman"/>
          <w:szCs w:val="24"/>
          <w:lang w:bidi="ar-SA"/>
        </w:rPr>
        <w:t xml:space="preserve"> </w:t>
      </w:r>
      <w:r w:rsidR="004D548A" w:rsidRPr="00FC794D">
        <w:rPr>
          <w:rFonts w:ascii="Ebrima" w:eastAsia="Times New Roman" w:hAnsi="Ebrima" w:cs="Times New Roman"/>
          <w:szCs w:val="24"/>
          <w:lang w:bidi="ar-SA"/>
        </w:rPr>
        <w:t xml:space="preserve">denominated loan  </w:t>
      </w:r>
      <w:r w:rsidR="00D45D9F" w:rsidRPr="00FC794D">
        <w:rPr>
          <w:rFonts w:ascii="Ebrima" w:eastAsia="Times New Roman" w:hAnsi="Ebrima" w:cs="Times New Roman"/>
          <w:szCs w:val="24"/>
          <w:lang w:bidi="ar-SA"/>
        </w:rPr>
        <w:t xml:space="preserve">receipts of the government </w:t>
      </w:r>
      <w:r w:rsidRPr="00FC794D">
        <w:rPr>
          <w:rFonts w:ascii="Ebrima" w:eastAsia="Times New Roman" w:hAnsi="Ebrima" w:cs="Times New Roman"/>
          <w:szCs w:val="24"/>
          <w:lang w:bidi="ar-SA"/>
        </w:rPr>
        <w:t>by the CBSL.</w:t>
      </w:r>
    </w:p>
    <w:p w:rsidR="00D45D9F" w:rsidRPr="00FC794D" w:rsidRDefault="00F16AF3" w:rsidP="00D45D9F">
      <w:pPr>
        <w:numPr>
          <w:ilvl w:val="2"/>
          <w:numId w:val="9"/>
        </w:numPr>
        <w:tabs>
          <w:tab w:val="left" w:pos="1080"/>
        </w:tabs>
        <w:spacing w:after="0" w:line="360" w:lineRule="auto"/>
        <w:ind w:left="1080" w:hanging="360"/>
        <w:jc w:val="both"/>
        <w:rPr>
          <w:rFonts w:ascii="Ebrima" w:eastAsia="Times New Roman" w:hAnsi="Ebrima" w:cs="Times New Roman"/>
          <w:szCs w:val="24"/>
          <w:lang w:bidi="ar-SA"/>
        </w:rPr>
      </w:pPr>
      <w:r w:rsidRPr="00FC794D">
        <w:rPr>
          <w:rFonts w:ascii="Ebrima" w:eastAsia="Times New Roman" w:hAnsi="Ebrima" w:cs="Times New Roman"/>
          <w:szCs w:val="24"/>
          <w:lang w:bidi="ar-SA"/>
        </w:rPr>
        <w:t>D</w:t>
      </w:r>
      <w:r w:rsidR="00D45D9F" w:rsidRPr="00FC794D">
        <w:rPr>
          <w:rFonts w:ascii="Ebrima" w:eastAsia="Times New Roman" w:hAnsi="Ebrima" w:cs="Times New Roman"/>
          <w:szCs w:val="24"/>
          <w:lang w:bidi="ar-SA"/>
        </w:rPr>
        <w:t>eposits</w:t>
      </w:r>
      <w:r w:rsidRPr="00FC794D">
        <w:rPr>
          <w:rFonts w:ascii="Ebrima" w:eastAsia="Times New Roman" w:hAnsi="Ebrima" w:cs="Times New Roman"/>
          <w:szCs w:val="24"/>
          <w:lang w:bidi="ar-SA"/>
        </w:rPr>
        <w:t xml:space="preserve"> of currency </w:t>
      </w:r>
      <w:r w:rsidR="00D45D9F" w:rsidRPr="00FC794D">
        <w:rPr>
          <w:rFonts w:ascii="Ebrima" w:eastAsia="Times New Roman" w:hAnsi="Ebrima" w:cs="Times New Roman"/>
          <w:szCs w:val="24"/>
          <w:lang w:bidi="ar-SA"/>
        </w:rPr>
        <w:t xml:space="preserve"> with the CBSL </w:t>
      </w:r>
      <w:r w:rsidR="005453D4" w:rsidRPr="00FC794D">
        <w:rPr>
          <w:rFonts w:ascii="Ebrima" w:eastAsia="Times New Roman" w:hAnsi="Ebrima" w:cs="Times New Roman"/>
          <w:szCs w:val="24"/>
          <w:lang w:bidi="ar-SA"/>
        </w:rPr>
        <w:t>by the LCBs</w:t>
      </w:r>
      <w:r w:rsidRPr="00FC794D">
        <w:rPr>
          <w:rFonts w:ascii="Ebrima" w:eastAsia="Times New Roman" w:hAnsi="Ebrima" w:cs="Times New Roman"/>
          <w:szCs w:val="24"/>
          <w:lang w:bidi="ar-SA"/>
        </w:rPr>
        <w:t>.</w:t>
      </w:r>
    </w:p>
    <w:p w:rsidR="00D45D9F" w:rsidRPr="00FC794D" w:rsidRDefault="00D45D9F" w:rsidP="00D45D9F">
      <w:pPr>
        <w:numPr>
          <w:ilvl w:val="2"/>
          <w:numId w:val="9"/>
        </w:numPr>
        <w:tabs>
          <w:tab w:val="left" w:pos="1080"/>
        </w:tabs>
        <w:spacing w:after="0" w:line="360" w:lineRule="auto"/>
        <w:ind w:left="1080" w:hanging="360"/>
        <w:jc w:val="both"/>
        <w:rPr>
          <w:rFonts w:ascii="Ebrima" w:eastAsia="Times New Roman" w:hAnsi="Ebrima" w:cs="Times New Roman"/>
          <w:szCs w:val="24"/>
          <w:lang w:bidi="ar-SA"/>
        </w:rPr>
      </w:pPr>
      <w:r w:rsidRPr="00FC794D">
        <w:rPr>
          <w:rFonts w:ascii="Ebrima" w:eastAsia="Times New Roman" w:hAnsi="Ebrima" w:cs="Times New Roman"/>
          <w:szCs w:val="24"/>
          <w:lang w:bidi="ar-SA"/>
        </w:rPr>
        <w:t>Release of CBSL profit to the government.</w:t>
      </w:r>
    </w:p>
    <w:p w:rsidR="00D45D9F" w:rsidRPr="00FC794D" w:rsidRDefault="00F16AF3" w:rsidP="00D45D9F">
      <w:pPr>
        <w:numPr>
          <w:ilvl w:val="2"/>
          <w:numId w:val="9"/>
        </w:numPr>
        <w:tabs>
          <w:tab w:val="left" w:pos="1080"/>
        </w:tabs>
        <w:spacing w:after="0" w:line="360" w:lineRule="auto"/>
        <w:ind w:left="1080" w:hanging="360"/>
        <w:jc w:val="both"/>
        <w:rPr>
          <w:rFonts w:ascii="Ebrima" w:eastAsia="Times New Roman" w:hAnsi="Ebrima" w:cs="Times New Roman"/>
          <w:szCs w:val="24"/>
          <w:lang w:bidi="ar-SA"/>
        </w:rPr>
      </w:pPr>
      <w:r w:rsidRPr="00FC794D">
        <w:rPr>
          <w:rFonts w:ascii="Ebrima" w:eastAsia="Times New Roman" w:hAnsi="Ebrima" w:cs="Times New Roman"/>
          <w:szCs w:val="24"/>
          <w:lang w:bidi="ar-SA"/>
        </w:rPr>
        <w:lastRenderedPageBreak/>
        <w:t>Grant of p</w:t>
      </w:r>
      <w:r w:rsidR="00D45D9F" w:rsidRPr="00FC794D">
        <w:rPr>
          <w:rFonts w:ascii="Ebrima" w:eastAsia="Times New Roman" w:hAnsi="Ebrima" w:cs="Times New Roman"/>
          <w:szCs w:val="24"/>
          <w:lang w:bidi="ar-SA"/>
        </w:rPr>
        <w:t>rovisional advances to the government</w:t>
      </w:r>
      <w:r w:rsidRPr="00FC794D">
        <w:rPr>
          <w:rFonts w:ascii="Ebrima" w:eastAsia="Times New Roman" w:hAnsi="Ebrima" w:cs="Times New Roman"/>
          <w:szCs w:val="24"/>
          <w:lang w:bidi="ar-SA"/>
        </w:rPr>
        <w:t xml:space="preserve"> by the CBSL</w:t>
      </w:r>
      <w:r w:rsidR="00D45D9F" w:rsidRPr="00FC794D">
        <w:rPr>
          <w:rFonts w:ascii="Ebrima" w:eastAsia="Times New Roman" w:hAnsi="Ebrima" w:cs="Times New Roman"/>
          <w:szCs w:val="24"/>
          <w:lang w:bidi="ar-SA"/>
        </w:rPr>
        <w:t>.</w:t>
      </w:r>
    </w:p>
    <w:p w:rsidR="00D45D9F" w:rsidRPr="00FC794D" w:rsidDel="004D548A" w:rsidRDefault="00394279" w:rsidP="00D45D9F">
      <w:pPr>
        <w:numPr>
          <w:ilvl w:val="2"/>
          <w:numId w:val="9"/>
        </w:numPr>
        <w:tabs>
          <w:tab w:val="left" w:pos="1080"/>
        </w:tabs>
        <w:spacing w:after="0" w:line="360" w:lineRule="auto"/>
        <w:ind w:left="1080" w:hanging="360"/>
        <w:jc w:val="both"/>
        <w:rPr>
          <w:rFonts w:ascii="Ebrima" w:eastAsia="Times New Roman" w:hAnsi="Ebrima" w:cs="Times New Roman"/>
          <w:szCs w:val="24"/>
          <w:lang w:bidi="ar-SA"/>
        </w:rPr>
      </w:pPr>
      <w:r w:rsidRPr="00FC794D">
        <w:rPr>
          <w:rFonts w:ascii="Ebrima" w:eastAsia="Times New Roman" w:hAnsi="Ebrima" w:cs="Times New Roman"/>
          <w:szCs w:val="24"/>
          <w:lang w:bidi="ar-SA"/>
        </w:rPr>
        <w:t>R</w:t>
      </w:r>
      <w:r w:rsidR="00D45D9F" w:rsidRPr="00FC794D" w:rsidDel="004D548A">
        <w:rPr>
          <w:rFonts w:ascii="Ebrima" w:eastAsia="Times New Roman" w:hAnsi="Ebrima" w:cs="Times New Roman"/>
          <w:szCs w:val="24"/>
          <w:lang w:bidi="ar-SA"/>
        </w:rPr>
        <w:t>etir</w:t>
      </w:r>
      <w:r w:rsidRPr="00FC794D">
        <w:rPr>
          <w:rFonts w:ascii="Ebrima" w:eastAsia="Times New Roman" w:hAnsi="Ebrima" w:cs="Times New Roman"/>
          <w:szCs w:val="24"/>
          <w:lang w:bidi="ar-SA"/>
        </w:rPr>
        <w:t xml:space="preserve">ement of </w:t>
      </w:r>
      <w:r w:rsidR="00D45D9F" w:rsidRPr="00FC794D" w:rsidDel="004D548A">
        <w:rPr>
          <w:rFonts w:ascii="Ebrima" w:eastAsia="Times New Roman" w:hAnsi="Ebrima" w:cs="Times New Roman"/>
          <w:szCs w:val="24"/>
          <w:lang w:bidi="ar-SA"/>
        </w:rPr>
        <w:t xml:space="preserve"> </w:t>
      </w:r>
      <w:proofErr w:type="spellStart"/>
      <w:r w:rsidR="00D45D9F" w:rsidRPr="00FC794D" w:rsidDel="004D548A">
        <w:rPr>
          <w:rFonts w:ascii="Ebrima" w:eastAsia="Times New Roman" w:hAnsi="Ebrima" w:cs="Times New Roman"/>
          <w:szCs w:val="24"/>
          <w:lang w:bidi="ar-SA"/>
        </w:rPr>
        <w:t>it’s</w:t>
      </w:r>
      <w:proofErr w:type="spellEnd"/>
      <w:r w:rsidR="00D45D9F" w:rsidRPr="00FC794D" w:rsidDel="004D548A">
        <w:rPr>
          <w:rFonts w:ascii="Ebrima" w:eastAsia="Times New Roman" w:hAnsi="Ebrima" w:cs="Times New Roman"/>
          <w:szCs w:val="24"/>
          <w:lang w:bidi="ar-SA"/>
        </w:rPr>
        <w:t xml:space="preserve"> securities</w:t>
      </w:r>
      <w:r w:rsidRPr="00FC794D">
        <w:rPr>
          <w:rFonts w:ascii="Ebrima" w:eastAsia="Times New Roman" w:hAnsi="Ebrima" w:cs="Times New Roman"/>
          <w:szCs w:val="24"/>
          <w:lang w:bidi="ar-SA"/>
        </w:rPr>
        <w:t xml:space="preserve"> by the CBSL </w:t>
      </w:r>
    </w:p>
    <w:p w:rsidR="00D45D9F" w:rsidRPr="00FC794D" w:rsidRDefault="00D45D9F" w:rsidP="00D45D9F">
      <w:pPr>
        <w:tabs>
          <w:tab w:val="left" w:pos="1080"/>
        </w:tabs>
        <w:spacing w:after="0" w:line="240" w:lineRule="auto"/>
        <w:jc w:val="both"/>
        <w:rPr>
          <w:rFonts w:ascii="Ebrima" w:eastAsia="Times New Roman" w:hAnsi="Ebrima" w:cs="Times New Roman"/>
          <w:szCs w:val="24"/>
          <w:lang w:bidi="ar-SA"/>
        </w:rPr>
      </w:pPr>
    </w:p>
    <w:p w:rsidR="00D45D9F" w:rsidRPr="00FC794D" w:rsidRDefault="00D45D9F" w:rsidP="00D45D9F">
      <w:pPr>
        <w:tabs>
          <w:tab w:val="left" w:pos="1080"/>
        </w:tabs>
        <w:spacing w:after="0" w:line="360" w:lineRule="auto"/>
        <w:jc w:val="both"/>
        <w:rPr>
          <w:rFonts w:ascii="Ebrima" w:eastAsia="Times New Roman" w:hAnsi="Ebrima" w:cs="Times New Roman"/>
          <w:b/>
          <w:bCs/>
          <w:szCs w:val="24"/>
          <w:lang w:bidi="ar-SA"/>
        </w:rPr>
      </w:pPr>
      <w:r w:rsidRPr="00FC794D">
        <w:rPr>
          <w:rFonts w:ascii="Ebrima" w:eastAsia="Times New Roman" w:hAnsi="Ebrima" w:cs="Times New Roman"/>
          <w:b/>
          <w:bCs/>
          <w:szCs w:val="24"/>
          <w:lang w:bidi="ar-SA"/>
        </w:rPr>
        <w:t xml:space="preserve">Liquidity </w:t>
      </w:r>
      <w:r w:rsidR="005C6795" w:rsidRPr="00FC794D">
        <w:rPr>
          <w:rFonts w:ascii="Ebrima" w:eastAsia="Times New Roman" w:hAnsi="Ebrima" w:cs="Times New Roman"/>
          <w:b/>
          <w:bCs/>
          <w:szCs w:val="24"/>
          <w:lang w:bidi="ar-SA"/>
        </w:rPr>
        <w:t>r</w:t>
      </w:r>
      <w:r w:rsidRPr="00FC794D">
        <w:rPr>
          <w:rFonts w:ascii="Ebrima" w:eastAsia="Times New Roman" w:hAnsi="Ebrima" w:cs="Times New Roman"/>
          <w:b/>
          <w:bCs/>
          <w:szCs w:val="24"/>
          <w:lang w:bidi="ar-SA"/>
        </w:rPr>
        <w:t xml:space="preserve">educing </w:t>
      </w:r>
      <w:r w:rsidR="005C6795" w:rsidRPr="00FC794D">
        <w:rPr>
          <w:rFonts w:ascii="Ebrima" w:eastAsia="Times New Roman" w:hAnsi="Ebrima" w:cs="Times New Roman"/>
          <w:b/>
          <w:bCs/>
          <w:szCs w:val="24"/>
          <w:lang w:bidi="ar-SA"/>
        </w:rPr>
        <w:t>f</w:t>
      </w:r>
      <w:r w:rsidRPr="00FC794D">
        <w:rPr>
          <w:rFonts w:ascii="Ebrima" w:eastAsia="Times New Roman" w:hAnsi="Ebrima" w:cs="Times New Roman"/>
          <w:b/>
          <w:bCs/>
          <w:szCs w:val="24"/>
          <w:lang w:bidi="ar-SA"/>
        </w:rPr>
        <w:t>actors</w:t>
      </w:r>
    </w:p>
    <w:p w:rsidR="00D45D9F" w:rsidRPr="00FC794D" w:rsidRDefault="004D548A" w:rsidP="00D45D9F">
      <w:pPr>
        <w:numPr>
          <w:ilvl w:val="0"/>
          <w:numId w:val="8"/>
        </w:numPr>
        <w:tabs>
          <w:tab w:val="left" w:pos="1080"/>
        </w:tabs>
        <w:spacing w:after="0" w:line="360" w:lineRule="auto"/>
        <w:jc w:val="both"/>
        <w:rPr>
          <w:rFonts w:ascii="Ebrima" w:eastAsia="Times New Roman" w:hAnsi="Ebrima" w:cs="Times New Roman"/>
          <w:szCs w:val="24"/>
          <w:lang w:bidi="ar-SA"/>
        </w:rPr>
      </w:pPr>
      <w:r w:rsidRPr="00FC794D">
        <w:rPr>
          <w:rFonts w:ascii="Ebrima" w:eastAsia="Times New Roman" w:hAnsi="Ebrima" w:cs="Times New Roman"/>
          <w:szCs w:val="24"/>
          <w:lang w:bidi="ar-SA"/>
        </w:rPr>
        <w:t>S</w:t>
      </w:r>
      <w:r w:rsidR="00D45D9F" w:rsidRPr="00FC794D">
        <w:rPr>
          <w:rFonts w:ascii="Ebrima" w:eastAsia="Times New Roman" w:hAnsi="Ebrima" w:cs="Times New Roman"/>
          <w:szCs w:val="24"/>
          <w:lang w:bidi="ar-SA"/>
        </w:rPr>
        <w:t>ale of Treasury bills</w:t>
      </w:r>
      <w:r w:rsidRPr="00FC794D">
        <w:rPr>
          <w:rFonts w:ascii="Ebrima" w:eastAsia="Times New Roman" w:hAnsi="Ebrima" w:cs="Times New Roman"/>
          <w:szCs w:val="24"/>
          <w:lang w:bidi="ar-SA"/>
        </w:rPr>
        <w:t xml:space="preserve"> by the CBSL on outright basis </w:t>
      </w:r>
    </w:p>
    <w:p w:rsidR="00D45D9F" w:rsidRPr="00FC794D" w:rsidRDefault="00D45D9F" w:rsidP="00D45D9F">
      <w:pPr>
        <w:numPr>
          <w:ilvl w:val="0"/>
          <w:numId w:val="8"/>
        </w:numPr>
        <w:tabs>
          <w:tab w:val="left" w:pos="1080"/>
        </w:tabs>
        <w:spacing w:after="0" w:line="360" w:lineRule="auto"/>
        <w:jc w:val="both"/>
        <w:rPr>
          <w:rFonts w:ascii="Ebrima" w:eastAsia="Times New Roman" w:hAnsi="Ebrima" w:cs="Times New Roman"/>
          <w:szCs w:val="24"/>
          <w:lang w:bidi="ar-SA"/>
        </w:rPr>
      </w:pPr>
      <w:r w:rsidRPr="00FC794D">
        <w:rPr>
          <w:rFonts w:ascii="Ebrima" w:eastAsia="Times New Roman" w:hAnsi="Ebrima" w:cs="Times New Roman"/>
          <w:szCs w:val="24"/>
          <w:lang w:bidi="ar-SA"/>
        </w:rPr>
        <w:t>Maturing of Treasury bills</w:t>
      </w:r>
      <w:r w:rsidR="00547431" w:rsidRPr="00FC794D">
        <w:rPr>
          <w:rFonts w:ascii="Ebrima" w:eastAsia="Times New Roman" w:hAnsi="Ebrima" w:cs="Times New Roman"/>
          <w:szCs w:val="24"/>
          <w:lang w:bidi="ar-SA"/>
        </w:rPr>
        <w:t xml:space="preserve"> held by the CBSL</w:t>
      </w:r>
      <w:r w:rsidRPr="00FC794D">
        <w:rPr>
          <w:rFonts w:ascii="Ebrima" w:eastAsia="Times New Roman" w:hAnsi="Ebrima" w:cs="Times New Roman"/>
          <w:szCs w:val="24"/>
          <w:lang w:bidi="ar-SA"/>
        </w:rPr>
        <w:t>.</w:t>
      </w:r>
    </w:p>
    <w:p w:rsidR="00D45D9F" w:rsidRPr="00FC794D" w:rsidRDefault="00D45D9F" w:rsidP="00D45D9F">
      <w:pPr>
        <w:numPr>
          <w:ilvl w:val="0"/>
          <w:numId w:val="8"/>
        </w:numPr>
        <w:tabs>
          <w:tab w:val="left" w:pos="1080"/>
        </w:tabs>
        <w:spacing w:after="0" w:line="360" w:lineRule="auto"/>
        <w:jc w:val="both"/>
        <w:rPr>
          <w:rFonts w:ascii="Ebrima" w:eastAsia="Times New Roman" w:hAnsi="Ebrima" w:cs="Times New Roman"/>
          <w:szCs w:val="24"/>
          <w:lang w:bidi="ar-SA"/>
        </w:rPr>
      </w:pPr>
      <w:r w:rsidRPr="00FC794D">
        <w:rPr>
          <w:rFonts w:ascii="Ebrima" w:eastAsia="Times New Roman" w:hAnsi="Ebrima" w:cs="Times New Roman"/>
          <w:szCs w:val="24"/>
          <w:lang w:bidi="ar-SA"/>
        </w:rPr>
        <w:t>sale of foreign exchange in the market</w:t>
      </w:r>
      <w:r w:rsidR="00547431" w:rsidRPr="00FC794D">
        <w:rPr>
          <w:rFonts w:ascii="Ebrima" w:eastAsia="Times New Roman" w:hAnsi="Ebrima" w:cs="Times New Roman"/>
          <w:szCs w:val="24"/>
          <w:lang w:bidi="ar-SA"/>
        </w:rPr>
        <w:t xml:space="preserve"> by the CBSL</w:t>
      </w:r>
    </w:p>
    <w:p w:rsidR="00D45D9F" w:rsidRPr="00FC794D" w:rsidRDefault="00547431" w:rsidP="00D45D9F">
      <w:pPr>
        <w:numPr>
          <w:ilvl w:val="0"/>
          <w:numId w:val="8"/>
        </w:numPr>
        <w:tabs>
          <w:tab w:val="left" w:pos="1080"/>
        </w:tabs>
        <w:spacing w:after="0" w:line="360" w:lineRule="auto"/>
        <w:jc w:val="both"/>
        <w:rPr>
          <w:rFonts w:ascii="Ebrima" w:eastAsia="Times New Roman" w:hAnsi="Ebrima" w:cs="Times New Roman"/>
          <w:szCs w:val="24"/>
          <w:lang w:bidi="ar-SA"/>
        </w:rPr>
      </w:pPr>
      <w:r w:rsidRPr="00FC794D">
        <w:rPr>
          <w:rFonts w:ascii="Ebrima" w:eastAsia="Times New Roman" w:hAnsi="Ebrima" w:cs="Times New Roman"/>
          <w:szCs w:val="24"/>
          <w:lang w:bidi="ar-SA"/>
        </w:rPr>
        <w:t>Sale of foreign exchange by the CBSL   to the government for r</w:t>
      </w:r>
      <w:r w:rsidR="00D45D9F" w:rsidRPr="00FC794D">
        <w:rPr>
          <w:rFonts w:ascii="Ebrima" w:eastAsia="Times New Roman" w:hAnsi="Ebrima" w:cs="Times New Roman"/>
          <w:szCs w:val="24"/>
          <w:lang w:bidi="ar-SA"/>
        </w:rPr>
        <w:t xml:space="preserve">epayment of </w:t>
      </w:r>
      <w:r w:rsidRPr="00FC794D">
        <w:rPr>
          <w:rFonts w:ascii="Ebrima" w:eastAsia="Times New Roman" w:hAnsi="Ebrima" w:cs="Times New Roman"/>
          <w:szCs w:val="24"/>
          <w:lang w:bidi="ar-SA"/>
        </w:rPr>
        <w:t xml:space="preserve">foreign currency denominated loans of  </w:t>
      </w:r>
      <w:r w:rsidR="00D45D9F" w:rsidRPr="00FC794D">
        <w:rPr>
          <w:rFonts w:ascii="Ebrima" w:eastAsia="Times New Roman" w:hAnsi="Ebrima" w:cs="Times New Roman"/>
          <w:szCs w:val="24"/>
          <w:lang w:bidi="ar-SA"/>
        </w:rPr>
        <w:t>the government .</w:t>
      </w:r>
    </w:p>
    <w:p w:rsidR="00D45D9F" w:rsidRPr="00FC794D" w:rsidRDefault="00D45D9F" w:rsidP="00D45D9F">
      <w:pPr>
        <w:numPr>
          <w:ilvl w:val="0"/>
          <w:numId w:val="8"/>
        </w:numPr>
        <w:tabs>
          <w:tab w:val="num" w:pos="1080"/>
        </w:tabs>
        <w:spacing w:after="0" w:line="360" w:lineRule="auto"/>
        <w:jc w:val="both"/>
        <w:rPr>
          <w:rFonts w:ascii="Ebrima" w:eastAsia="Times New Roman" w:hAnsi="Ebrima" w:cs="Times New Roman"/>
          <w:szCs w:val="24"/>
          <w:lang w:bidi="ar-SA"/>
        </w:rPr>
      </w:pPr>
      <w:r w:rsidRPr="00FC794D">
        <w:rPr>
          <w:rFonts w:ascii="Ebrima" w:eastAsia="Times New Roman" w:hAnsi="Ebrima" w:cs="Times New Roman"/>
          <w:szCs w:val="24"/>
          <w:lang w:bidi="ar-SA"/>
        </w:rPr>
        <w:t xml:space="preserve">Currency withdrawals </w:t>
      </w:r>
      <w:r w:rsidR="00394279" w:rsidRPr="00FC794D">
        <w:rPr>
          <w:rFonts w:ascii="Ebrima" w:eastAsia="Times New Roman" w:hAnsi="Ebrima" w:cs="Times New Roman"/>
          <w:szCs w:val="24"/>
          <w:lang w:bidi="ar-SA"/>
        </w:rPr>
        <w:t xml:space="preserve">by LCBs </w:t>
      </w:r>
      <w:r w:rsidRPr="00FC794D">
        <w:rPr>
          <w:rFonts w:ascii="Ebrima" w:eastAsia="Times New Roman" w:hAnsi="Ebrima" w:cs="Times New Roman"/>
          <w:szCs w:val="24"/>
          <w:lang w:bidi="ar-SA"/>
        </w:rPr>
        <w:t>from the CBSL</w:t>
      </w:r>
      <w:r w:rsidR="00394279" w:rsidRPr="00FC794D">
        <w:rPr>
          <w:rFonts w:ascii="Ebrima" w:eastAsia="Times New Roman" w:hAnsi="Ebrima" w:cs="Times New Roman"/>
          <w:szCs w:val="24"/>
          <w:lang w:bidi="ar-SA"/>
        </w:rPr>
        <w:t>.</w:t>
      </w:r>
    </w:p>
    <w:p w:rsidR="00D45D9F" w:rsidRPr="00FC794D" w:rsidRDefault="00394279" w:rsidP="00D45D9F">
      <w:pPr>
        <w:numPr>
          <w:ilvl w:val="0"/>
          <w:numId w:val="8"/>
        </w:numPr>
        <w:tabs>
          <w:tab w:val="num" w:pos="1080"/>
        </w:tabs>
        <w:spacing w:after="0" w:line="360" w:lineRule="auto"/>
        <w:jc w:val="both"/>
        <w:rPr>
          <w:rFonts w:ascii="Ebrima" w:eastAsia="Times New Roman" w:hAnsi="Ebrima" w:cs="Times New Roman"/>
          <w:szCs w:val="24"/>
          <w:lang w:bidi="ar-SA"/>
        </w:rPr>
      </w:pPr>
      <w:r w:rsidRPr="00FC794D">
        <w:rPr>
          <w:rFonts w:ascii="Ebrima" w:eastAsia="Times New Roman" w:hAnsi="Ebrima" w:cs="Times New Roman"/>
          <w:szCs w:val="24"/>
          <w:lang w:bidi="ar-SA"/>
        </w:rPr>
        <w:t xml:space="preserve">Issuance of </w:t>
      </w:r>
      <w:r w:rsidR="00D45D9F" w:rsidRPr="00FC794D">
        <w:rPr>
          <w:rFonts w:ascii="Ebrima" w:eastAsia="Times New Roman" w:hAnsi="Ebrima" w:cs="Times New Roman"/>
          <w:szCs w:val="24"/>
          <w:lang w:bidi="ar-SA"/>
        </w:rPr>
        <w:t xml:space="preserve"> </w:t>
      </w:r>
      <w:r w:rsidRPr="00FC794D">
        <w:rPr>
          <w:rFonts w:ascii="Ebrima" w:eastAsia="Times New Roman" w:hAnsi="Ebrima" w:cs="Times New Roman"/>
          <w:szCs w:val="24"/>
          <w:lang w:bidi="ar-SA"/>
        </w:rPr>
        <w:t>s</w:t>
      </w:r>
      <w:r w:rsidR="00D45D9F" w:rsidRPr="00FC794D">
        <w:rPr>
          <w:rFonts w:ascii="Ebrima" w:eastAsia="Times New Roman" w:hAnsi="Ebrima" w:cs="Times New Roman"/>
          <w:szCs w:val="24"/>
          <w:lang w:bidi="ar-SA"/>
        </w:rPr>
        <w:t>ecurities</w:t>
      </w:r>
      <w:r w:rsidRPr="00FC794D">
        <w:rPr>
          <w:rFonts w:ascii="Ebrima" w:eastAsia="Times New Roman" w:hAnsi="Ebrima" w:cs="Times New Roman"/>
          <w:szCs w:val="24"/>
          <w:lang w:bidi="ar-SA"/>
        </w:rPr>
        <w:t xml:space="preserve"> by the CBSL</w:t>
      </w:r>
      <w:r w:rsidR="00D45D9F" w:rsidRPr="00FC794D">
        <w:rPr>
          <w:rFonts w:ascii="Ebrima" w:eastAsia="Times New Roman" w:hAnsi="Ebrima" w:cs="Times New Roman"/>
          <w:szCs w:val="24"/>
          <w:lang w:bidi="ar-SA"/>
        </w:rPr>
        <w:t>.</w:t>
      </w:r>
    </w:p>
    <w:p w:rsidR="004D548A" w:rsidRPr="00FC794D" w:rsidRDefault="004D548A" w:rsidP="00FC794D">
      <w:pPr>
        <w:spacing w:after="0" w:line="360" w:lineRule="auto"/>
        <w:ind w:left="1440"/>
        <w:jc w:val="both"/>
        <w:rPr>
          <w:rFonts w:ascii="Ebrima" w:eastAsia="Times New Roman" w:hAnsi="Ebrima" w:cs="Times New Roman"/>
          <w:szCs w:val="24"/>
          <w:lang w:bidi="ar-SA"/>
        </w:rPr>
      </w:pPr>
    </w:p>
    <w:p w:rsidR="000845C2" w:rsidRPr="00FC794D" w:rsidRDefault="00F80FAD" w:rsidP="00FC794D">
      <w:pPr>
        <w:spacing w:before="100" w:beforeAutospacing="1" w:after="100" w:afterAutospacing="1" w:line="360" w:lineRule="auto"/>
        <w:jc w:val="both"/>
        <w:rPr>
          <w:rFonts w:ascii="Ebrima" w:hAnsi="Ebrima" w:cs="Times New Roman"/>
          <w:sz w:val="24"/>
          <w:szCs w:val="24"/>
        </w:rPr>
      </w:pPr>
      <w:r w:rsidRPr="00FC794D">
        <w:rPr>
          <w:rFonts w:ascii="Ebrima" w:eastAsia="Times New Roman" w:hAnsi="Ebrima" w:cs="Times New Roman"/>
          <w:szCs w:val="24"/>
          <w:lang w:bidi="ar-SA"/>
        </w:rPr>
        <w:t>which</w:t>
      </w:r>
      <w:r w:rsidR="00D45D9F" w:rsidRPr="00FC794D">
        <w:rPr>
          <w:rFonts w:ascii="Ebrima" w:eastAsia="Times New Roman" w:hAnsi="Ebrima" w:cs="Times New Roman"/>
          <w:szCs w:val="24"/>
          <w:lang w:bidi="ar-SA"/>
        </w:rPr>
        <w:t xml:space="preserve"> provides an estimate of the closing bal</w:t>
      </w:r>
      <w:r w:rsidR="005453D4" w:rsidRPr="00FC794D">
        <w:rPr>
          <w:rFonts w:ascii="Ebrima" w:eastAsia="Times New Roman" w:hAnsi="Ebrima" w:cs="Times New Roman"/>
          <w:szCs w:val="24"/>
          <w:lang w:bidi="ar-SA"/>
        </w:rPr>
        <w:t>ance of the banks with the CBSL.</w:t>
      </w:r>
      <w:r w:rsidR="008972D5" w:rsidRPr="00FC794D">
        <w:rPr>
          <w:rFonts w:ascii="Ebrima" w:eastAsia="Times New Roman" w:hAnsi="Ebrima" w:cs="Times New Roman"/>
          <w:sz w:val="24"/>
          <w:szCs w:val="24"/>
          <w:lang w:bidi="ta-IN"/>
        </w:rPr>
        <w:t xml:space="preserve"> Overnight s</w:t>
      </w:r>
      <w:r w:rsidR="00CD77CB" w:rsidRPr="00FC794D">
        <w:rPr>
          <w:rFonts w:ascii="Ebrima" w:eastAsia="Times New Roman" w:hAnsi="Ebrima" w:cs="Times New Roman"/>
          <w:sz w:val="24"/>
          <w:szCs w:val="24"/>
          <w:lang w:bidi="ta-IN"/>
        </w:rPr>
        <w:t xml:space="preserve">urplus or deficit is computed by </w:t>
      </w:r>
      <w:r w:rsidR="005453D4" w:rsidRPr="00FC794D">
        <w:rPr>
          <w:rFonts w:ascii="Ebrima" w:eastAsia="Times New Roman" w:hAnsi="Ebrima" w:cs="Times New Roman"/>
          <w:sz w:val="24"/>
          <w:szCs w:val="24"/>
          <w:lang w:bidi="ta-IN"/>
        </w:rPr>
        <w:t>adjusting this amount with the SRR required to be</w:t>
      </w:r>
      <w:r w:rsidR="00CD77CB" w:rsidRPr="00FC794D">
        <w:rPr>
          <w:rFonts w:ascii="Ebrima" w:eastAsia="Times New Roman" w:hAnsi="Ebrima" w:cs="Times New Roman"/>
          <w:sz w:val="24"/>
          <w:szCs w:val="24"/>
          <w:lang w:bidi="ta-IN"/>
        </w:rPr>
        <w:t xml:space="preserve"> maintained by </w:t>
      </w:r>
      <w:r w:rsidR="005453D4" w:rsidRPr="00FC794D">
        <w:rPr>
          <w:rFonts w:ascii="Ebrima" w:eastAsia="Times New Roman" w:hAnsi="Ebrima" w:cs="Times New Roman"/>
          <w:sz w:val="24"/>
          <w:szCs w:val="24"/>
          <w:lang w:bidi="ta-IN"/>
        </w:rPr>
        <w:t>the LCBs</w:t>
      </w:r>
      <w:r w:rsidR="00CD77CB" w:rsidRPr="00FC794D">
        <w:rPr>
          <w:rFonts w:ascii="Ebrima" w:eastAsia="Times New Roman" w:hAnsi="Ebrima" w:cs="Times New Roman"/>
          <w:sz w:val="24"/>
          <w:szCs w:val="24"/>
          <w:lang w:bidi="ta-IN"/>
        </w:rPr>
        <w:t>.</w:t>
      </w:r>
      <w:r w:rsidR="00FC794D" w:rsidRPr="00FC794D" w:rsidDel="00FC794D">
        <w:rPr>
          <w:rFonts w:ascii="Ebrima" w:eastAsia="Times New Roman" w:hAnsi="Ebrima" w:cs="Times New Roman"/>
          <w:sz w:val="24"/>
          <w:szCs w:val="24"/>
          <w:lang w:bidi="ta-IN"/>
        </w:rPr>
        <w:t xml:space="preserve"> </w:t>
      </w:r>
    </w:p>
    <w:sectPr w:rsidR="000845C2" w:rsidRPr="00FC794D" w:rsidSect="00FC794D">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D3B" w:rsidRDefault="00676D3B" w:rsidP="0033189D">
      <w:pPr>
        <w:spacing w:after="0" w:line="240" w:lineRule="auto"/>
      </w:pPr>
      <w:r>
        <w:separator/>
      </w:r>
    </w:p>
  </w:endnote>
  <w:endnote w:type="continuationSeparator" w:id="0">
    <w:p w:rsidR="00676D3B" w:rsidRDefault="00676D3B" w:rsidP="00331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altName w:val="Gadugi"/>
    <w:panose1 w:val="020B0502040204020203"/>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325460"/>
      <w:docPartObj>
        <w:docPartGallery w:val="Page Numbers (Bottom of Page)"/>
        <w:docPartUnique/>
      </w:docPartObj>
    </w:sdtPr>
    <w:sdtEndPr>
      <w:rPr>
        <w:noProof/>
      </w:rPr>
    </w:sdtEndPr>
    <w:sdtContent>
      <w:p w:rsidR="0033189D" w:rsidRDefault="009236C2">
        <w:pPr>
          <w:pStyle w:val="Footer"/>
          <w:jc w:val="center"/>
        </w:pPr>
        <w:r>
          <w:fldChar w:fldCharType="begin"/>
        </w:r>
        <w:r w:rsidR="0033189D">
          <w:instrText xml:space="preserve"> PAGE   \* MERGEFORMAT </w:instrText>
        </w:r>
        <w:r>
          <w:fldChar w:fldCharType="separate"/>
        </w:r>
        <w:r w:rsidR="0090143B">
          <w:rPr>
            <w:noProof/>
          </w:rPr>
          <w:t>2</w:t>
        </w:r>
        <w:r>
          <w:rPr>
            <w:noProof/>
          </w:rPr>
          <w:fldChar w:fldCharType="end"/>
        </w:r>
      </w:p>
    </w:sdtContent>
  </w:sdt>
  <w:p w:rsidR="0033189D" w:rsidRDefault="003318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D3B" w:rsidRDefault="00676D3B" w:rsidP="0033189D">
      <w:pPr>
        <w:spacing w:after="0" w:line="240" w:lineRule="auto"/>
      </w:pPr>
      <w:r>
        <w:separator/>
      </w:r>
    </w:p>
  </w:footnote>
  <w:footnote w:type="continuationSeparator" w:id="0">
    <w:p w:rsidR="00676D3B" w:rsidRDefault="00676D3B" w:rsidP="003318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898"/>
    <w:multiLevelType w:val="multilevel"/>
    <w:tmpl w:val="4EE28E7C"/>
    <w:lvl w:ilvl="0">
      <w:start w:val="1"/>
      <w:numFmt w:val="decimal"/>
      <w:lvlText w:val="%1."/>
      <w:lvlJc w:val="left"/>
      <w:pPr>
        <w:ind w:left="360" w:hanging="360"/>
      </w:pPr>
      <w:rPr>
        <w:b/>
        <w:bCs/>
      </w:rPr>
    </w:lvl>
    <w:lvl w:ilvl="1">
      <w:start w:val="1"/>
      <w:numFmt w:val="decimal"/>
      <w:lvlText w:val="%1.%2."/>
      <w:lvlJc w:val="left"/>
      <w:pPr>
        <w:ind w:left="972" w:hanging="432"/>
      </w:pPr>
      <w:rPr>
        <w:b/>
        <w:bCs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06647D"/>
    <w:multiLevelType w:val="hybridMultilevel"/>
    <w:tmpl w:val="BE7057D0"/>
    <w:lvl w:ilvl="0" w:tplc="82300B5C">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1A8E6B36"/>
    <w:multiLevelType w:val="hybridMultilevel"/>
    <w:tmpl w:val="7034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963F0"/>
    <w:multiLevelType w:val="hybridMultilevel"/>
    <w:tmpl w:val="8BCEE556"/>
    <w:lvl w:ilvl="0" w:tplc="A3AEF9BE">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B6550B5"/>
    <w:multiLevelType w:val="hybridMultilevel"/>
    <w:tmpl w:val="600C2FC0"/>
    <w:lvl w:ilvl="0" w:tplc="B9C8B8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1A81C21"/>
    <w:multiLevelType w:val="hybridMultilevel"/>
    <w:tmpl w:val="C9820D6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3BB2C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79B3D57"/>
    <w:multiLevelType w:val="hybridMultilevel"/>
    <w:tmpl w:val="CBF0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4342F"/>
    <w:multiLevelType w:val="hybridMultilevel"/>
    <w:tmpl w:val="E2B83AA0"/>
    <w:lvl w:ilvl="0" w:tplc="47E46D7A">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50193A"/>
    <w:multiLevelType w:val="hybridMultilevel"/>
    <w:tmpl w:val="1CF4349C"/>
    <w:lvl w:ilvl="0" w:tplc="B9DCDB66">
      <w:start w:val="1"/>
      <w:numFmt w:val="decimal"/>
      <w:lvlText w:val="%1."/>
      <w:lvlJc w:val="left"/>
      <w:pPr>
        <w:tabs>
          <w:tab w:val="num" w:pos="720"/>
        </w:tabs>
        <w:ind w:left="720" w:hanging="360"/>
      </w:pPr>
      <w:rPr>
        <w:rFonts w:hint="default"/>
      </w:rPr>
    </w:lvl>
    <w:lvl w:ilvl="1" w:tplc="B56C9D64">
      <w:start w:val="1"/>
      <w:numFmt w:val="lowerRoman"/>
      <w:lvlText w:val="%2)"/>
      <w:lvlJc w:val="left"/>
      <w:pPr>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06B4034"/>
    <w:multiLevelType w:val="hybridMultilevel"/>
    <w:tmpl w:val="CE2CFC12"/>
    <w:lvl w:ilvl="0" w:tplc="54A4883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A445B1"/>
    <w:multiLevelType w:val="multilevel"/>
    <w:tmpl w:val="9B50BEC0"/>
    <w:lvl w:ilvl="0">
      <w:start w:val="1"/>
      <w:numFmt w:val="decimal"/>
      <w:lvlText w:val="%1."/>
      <w:lvlJc w:val="left"/>
      <w:pPr>
        <w:ind w:left="360" w:hanging="360"/>
      </w:pPr>
      <w:rPr>
        <w:b/>
        <w:bCs/>
      </w:rPr>
    </w:lvl>
    <w:lvl w:ilvl="1">
      <w:start w:val="1"/>
      <w:numFmt w:val="bullet"/>
      <w:lvlText w:val=""/>
      <w:lvlJc w:val="left"/>
      <w:pPr>
        <w:ind w:left="972" w:hanging="432"/>
      </w:pPr>
      <w:rPr>
        <w:rFonts w:ascii="Symbol" w:hAnsi="Symbol" w:hint="default"/>
        <w:b w:val="0"/>
        <w:bCs w:val="0"/>
        <w:color w:val="000000" w:themeColor="text1"/>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ADD6DE7"/>
    <w:multiLevelType w:val="hybridMultilevel"/>
    <w:tmpl w:val="F47604A2"/>
    <w:lvl w:ilvl="0" w:tplc="9642EFD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5"/>
  </w:num>
  <w:num w:numId="3">
    <w:abstractNumId w:val="4"/>
  </w:num>
  <w:num w:numId="4">
    <w:abstractNumId w:val="3"/>
  </w:num>
  <w:num w:numId="5">
    <w:abstractNumId w:val="11"/>
  </w:num>
  <w:num w:numId="6">
    <w:abstractNumId w:val="8"/>
  </w:num>
  <w:num w:numId="7">
    <w:abstractNumId w:val="10"/>
  </w:num>
  <w:num w:numId="8">
    <w:abstractNumId w:val="12"/>
  </w:num>
  <w:num w:numId="9">
    <w:abstractNumId w:val="9"/>
  </w:num>
  <w:num w:numId="10">
    <w:abstractNumId w:val="2"/>
  </w:num>
  <w:num w:numId="11">
    <w:abstractNumId w:val="7"/>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characterSpacingControl w:val="doNotCompress"/>
  <w:footnotePr>
    <w:footnote w:id="-1"/>
    <w:footnote w:id="0"/>
  </w:footnotePr>
  <w:endnotePr>
    <w:endnote w:id="-1"/>
    <w:endnote w:id="0"/>
  </w:endnotePr>
  <w:compat/>
  <w:rsids>
    <w:rsidRoot w:val="00252129"/>
    <w:rsid w:val="00011734"/>
    <w:rsid w:val="00012420"/>
    <w:rsid w:val="00031037"/>
    <w:rsid w:val="00033561"/>
    <w:rsid w:val="00035409"/>
    <w:rsid w:val="00053EFB"/>
    <w:rsid w:val="00080E02"/>
    <w:rsid w:val="000845C2"/>
    <w:rsid w:val="00093650"/>
    <w:rsid w:val="000D599F"/>
    <w:rsid w:val="000E3CD7"/>
    <w:rsid w:val="000F27FD"/>
    <w:rsid w:val="000F4BEB"/>
    <w:rsid w:val="001106A3"/>
    <w:rsid w:val="00126EBC"/>
    <w:rsid w:val="00130E33"/>
    <w:rsid w:val="00132A32"/>
    <w:rsid w:val="0017258D"/>
    <w:rsid w:val="001A0423"/>
    <w:rsid w:val="001A793F"/>
    <w:rsid w:val="00210723"/>
    <w:rsid w:val="0021297B"/>
    <w:rsid w:val="00220FD5"/>
    <w:rsid w:val="002211F8"/>
    <w:rsid w:val="00236F77"/>
    <w:rsid w:val="00252129"/>
    <w:rsid w:val="00253300"/>
    <w:rsid w:val="0029353A"/>
    <w:rsid w:val="002A19B0"/>
    <w:rsid w:val="002C2449"/>
    <w:rsid w:val="002D67A9"/>
    <w:rsid w:val="002E1D41"/>
    <w:rsid w:val="00311E86"/>
    <w:rsid w:val="00316C38"/>
    <w:rsid w:val="0033189D"/>
    <w:rsid w:val="0036515C"/>
    <w:rsid w:val="00394279"/>
    <w:rsid w:val="0039607B"/>
    <w:rsid w:val="00396BF0"/>
    <w:rsid w:val="003A1414"/>
    <w:rsid w:val="003C0C75"/>
    <w:rsid w:val="003D3702"/>
    <w:rsid w:val="0041013A"/>
    <w:rsid w:val="004349C3"/>
    <w:rsid w:val="004368E7"/>
    <w:rsid w:val="0047510F"/>
    <w:rsid w:val="0047576C"/>
    <w:rsid w:val="004852A9"/>
    <w:rsid w:val="004B29B9"/>
    <w:rsid w:val="004C0A84"/>
    <w:rsid w:val="004D548A"/>
    <w:rsid w:val="004D6DEB"/>
    <w:rsid w:val="00513CC3"/>
    <w:rsid w:val="0052209F"/>
    <w:rsid w:val="005453D4"/>
    <w:rsid w:val="00547431"/>
    <w:rsid w:val="00550C27"/>
    <w:rsid w:val="00560DA9"/>
    <w:rsid w:val="00585BBF"/>
    <w:rsid w:val="00591152"/>
    <w:rsid w:val="0059229B"/>
    <w:rsid w:val="005A770C"/>
    <w:rsid w:val="005B1CA1"/>
    <w:rsid w:val="005C03E6"/>
    <w:rsid w:val="005C6795"/>
    <w:rsid w:val="005D0349"/>
    <w:rsid w:val="005F2471"/>
    <w:rsid w:val="005F5619"/>
    <w:rsid w:val="00637378"/>
    <w:rsid w:val="006523E9"/>
    <w:rsid w:val="00673900"/>
    <w:rsid w:val="00674F7D"/>
    <w:rsid w:val="00676D3B"/>
    <w:rsid w:val="006B60D0"/>
    <w:rsid w:val="006B7BFE"/>
    <w:rsid w:val="006D4E7E"/>
    <w:rsid w:val="006F3F96"/>
    <w:rsid w:val="00701BC5"/>
    <w:rsid w:val="00715B15"/>
    <w:rsid w:val="007337B3"/>
    <w:rsid w:val="00746326"/>
    <w:rsid w:val="00752C41"/>
    <w:rsid w:val="007540DD"/>
    <w:rsid w:val="007A109C"/>
    <w:rsid w:val="007A1ADC"/>
    <w:rsid w:val="007A3B10"/>
    <w:rsid w:val="00806605"/>
    <w:rsid w:val="00865C65"/>
    <w:rsid w:val="00884FEC"/>
    <w:rsid w:val="00887144"/>
    <w:rsid w:val="00895CB1"/>
    <w:rsid w:val="008972D5"/>
    <w:rsid w:val="008C1667"/>
    <w:rsid w:val="0090143B"/>
    <w:rsid w:val="0091161F"/>
    <w:rsid w:val="009236C2"/>
    <w:rsid w:val="00946879"/>
    <w:rsid w:val="009527FC"/>
    <w:rsid w:val="009564C4"/>
    <w:rsid w:val="0099008B"/>
    <w:rsid w:val="00993FAE"/>
    <w:rsid w:val="00997D3D"/>
    <w:rsid w:val="009E454E"/>
    <w:rsid w:val="009F3110"/>
    <w:rsid w:val="00A07623"/>
    <w:rsid w:val="00A07638"/>
    <w:rsid w:val="00A15F15"/>
    <w:rsid w:val="00A16ED3"/>
    <w:rsid w:val="00A40C8F"/>
    <w:rsid w:val="00A71AC7"/>
    <w:rsid w:val="00AB4B9E"/>
    <w:rsid w:val="00AE76D3"/>
    <w:rsid w:val="00AF407E"/>
    <w:rsid w:val="00B32D18"/>
    <w:rsid w:val="00B3639A"/>
    <w:rsid w:val="00B74A02"/>
    <w:rsid w:val="00B85C5A"/>
    <w:rsid w:val="00B93EF5"/>
    <w:rsid w:val="00BB0ECD"/>
    <w:rsid w:val="00BB16B7"/>
    <w:rsid w:val="00BC48E6"/>
    <w:rsid w:val="00BC5E38"/>
    <w:rsid w:val="00C164AB"/>
    <w:rsid w:val="00C61F3D"/>
    <w:rsid w:val="00C7433E"/>
    <w:rsid w:val="00CC47C5"/>
    <w:rsid w:val="00CD77CB"/>
    <w:rsid w:val="00D217B3"/>
    <w:rsid w:val="00D32E04"/>
    <w:rsid w:val="00D45D9F"/>
    <w:rsid w:val="00D51B28"/>
    <w:rsid w:val="00D55724"/>
    <w:rsid w:val="00D56584"/>
    <w:rsid w:val="00D66587"/>
    <w:rsid w:val="00D71C6C"/>
    <w:rsid w:val="00DA1810"/>
    <w:rsid w:val="00DA62DE"/>
    <w:rsid w:val="00DE1605"/>
    <w:rsid w:val="00DE1E67"/>
    <w:rsid w:val="00E11805"/>
    <w:rsid w:val="00E16469"/>
    <w:rsid w:val="00E36380"/>
    <w:rsid w:val="00E36D7A"/>
    <w:rsid w:val="00E37509"/>
    <w:rsid w:val="00E83054"/>
    <w:rsid w:val="00E956D6"/>
    <w:rsid w:val="00EA5422"/>
    <w:rsid w:val="00F15573"/>
    <w:rsid w:val="00F16AF3"/>
    <w:rsid w:val="00F20D11"/>
    <w:rsid w:val="00F56EA3"/>
    <w:rsid w:val="00F80FAD"/>
    <w:rsid w:val="00FC794D"/>
    <w:rsid w:val="00FE3431"/>
    <w:rsid w:val="00FE4BB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29"/>
    <w:rPr>
      <w:rFonts w:eastAsiaTheme="minorEastAsia" w:cs="Arial Unicode MS"/>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129"/>
    <w:pPr>
      <w:ind w:left="720"/>
      <w:contextualSpacing/>
    </w:pPr>
  </w:style>
  <w:style w:type="table" w:styleId="TableGrid">
    <w:name w:val="Table Grid"/>
    <w:basedOn w:val="TableNormal"/>
    <w:uiPriority w:val="59"/>
    <w:rsid w:val="00252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29"/>
    <w:rPr>
      <w:rFonts w:ascii="Tahoma" w:eastAsiaTheme="minorEastAsia" w:hAnsi="Tahoma" w:cs="Tahoma"/>
      <w:sz w:val="16"/>
      <w:szCs w:val="16"/>
      <w:lang w:bidi="si-LK"/>
    </w:rPr>
  </w:style>
  <w:style w:type="paragraph" w:styleId="Header">
    <w:name w:val="header"/>
    <w:basedOn w:val="Normal"/>
    <w:link w:val="HeaderChar"/>
    <w:uiPriority w:val="99"/>
    <w:unhideWhenUsed/>
    <w:rsid w:val="0033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9D"/>
    <w:rPr>
      <w:rFonts w:eastAsiaTheme="minorEastAsia" w:cs="Arial Unicode MS"/>
      <w:lang w:bidi="si-LK"/>
    </w:rPr>
  </w:style>
  <w:style w:type="paragraph" w:styleId="Footer">
    <w:name w:val="footer"/>
    <w:basedOn w:val="Normal"/>
    <w:link w:val="FooterChar"/>
    <w:uiPriority w:val="99"/>
    <w:unhideWhenUsed/>
    <w:rsid w:val="0033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9D"/>
    <w:rPr>
      <w:rFonts w:eastAsiaTheme="minorEastAsia" w:cs="Arial Unicode MS"/>
      <w:lang w:bidi="si-L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129"/>
    <w:rPr>
      <w:rFonts w:eastAsiaTheme="minorEastAsia" w:cs="Arial Unicode MS"/>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129"/>
    <w:pPr>
      <w:ind w:left="720"/>
      <w:contextualSpacing/>
    </w:pPr>
  </w:style>
  <w:style w:type="table" w:styleId="TableGrid">
    <w:name w:val="Table Grid"/>
    <w:basedOn w:val="TableNormal"/>
    <w:uiPriority w:val="59"/>
    <w:rsid w:val="00252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129"/>
    <w:rPr>
      <w:rFonts w:ascii="Tahoma" w:eastAsiaTheme="minorEastAsia" w:hAnsi="Tahoma" w:cs="Tahoma"/>
      <w:sz w:val="16"/>
      <w:szCs w:val="16"/>
      <w:lang w:bidi="si-LK"/>
    </w:rPr>
  </w:style>
  <w:style w:type="paragraph" w:styleId="Header">
    <w:name w:val="header"/>
    <w:basedOn w:val="Normal"/>
    <w:link w:val="HeaderChar"/>
    <w:uiPriority w:val="99"/>
    <w:unhideWhenUsed/>
    <w:rsid w:val="0033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189D"/>
    <w:rPr>
      <w:rFonts w:eastAsiaTheme="minorEastAsia" w:cs="Arial Unicode MS"/>
      <w:lang w:bidi="si-LK"/>
    </w:rPr>
  </w:style>
  <w:style w:type="paragraph" w:styleId="Footer">
    <w:name w:val="footer"/>
    <w:basedOn w:val="Normal"/>
    <w:link w:val="FooterChar"/>
    <w:uiPriority w:val="99"/>
    <w:unhideWhenUsed/>
    <w:rsid w:val="0033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89D"/>
    <w:rPr>
      <w:rFonts w:eastAsiaTheme="minorEastAsia" w:cs="Arial Unicode MS"/>
      <w:lang w:bidi="si-LK"/>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0BDA6-A63A-4986-8573-E9A52DDC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PWDNR</dc:creator>
  <cp:lastModifiedBy>Kiruthigah S</cp:lastModifiedBy>
  <cp:revision>2</cp:revision>
  <cp:lastPrinted>2016-11-11T06:03:00Z</cp:lastPrinted>
  <dcterms:created xsi:type="dcterms:W3CDTF">2016-12-09T03:46:00Z</dcterms:created>
  <dcterms:modified xsi:type="dcterms:W3CDTF">2016-12-09T03:46:00Z</dcterms:modified>
</cp:coreProperties>
</file>